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92A9" w14:textId="77777777" w:rsidR="008941B2" w:rsidRPr="008941B2" w:rsidRDefault="008941B2" w:rsidP="008941B2">
      <w:pPr>
        <w:suppressAutoHyphens w:val="0"/>
        <w:ind w:firstLine="0"/>
        <w:rPr>
          <w:rFonts w:asciiTheme="minorHAnsi" w:hAnsiTheme="minorHAnsi" w:cstheme="minorHAnsi"/>
          <w:b/>
          <w:sz w:val="24"/>
          <w:lang w:eastAsia="cs-CZ"/>
        </w:rPr>
      </w:pPr>
      <w:bookmarkStart w:id="0" w:name="_Toc164828707"/>
      <w:bookmarkStart w:id="1" w:name="_Toc62036097"/>
      <w:bookmarkEnd w:id="0"/>
      <w:r w:rsidRPr="008941B2">
        <w:rPr>
          <w:rFonts w:asciiTheme="minorHAnsi" w:hAnsiTheme="minorHAnsi" w:cstheme="minorHAnsi"/>
          <w:b/>
          <w:sz w:val="24"/>
          <w:lang w:eastAsia="cs-CZ"/>
        </w:rPr>
        <w:t>Příloha č. 1 – Technická specifikace</w:t>
      </w:r>
    </w:p>
    <w:p w14:paraId="6F5335BC" w14:textId="77777777" w:rsidR="008941B2" w:rsidRPr="008941B2" w:rsidRDefault="008941B2" w:rsidP="008941B2">
      <w:pPr>
        <w:ind w:firstLine="0"/>
        <w:rPr>
          <w:rFonts w:ascii="Titillium" w:hAnsi="Titillium"/>
          <w:b/>
          <w:bCs/>
          <w:u w:val="single"/>
        </w:rPr>
      </w:pPr>
    </w:p>
    <w:p w14:paraId="66414D0E" w14:textId="77777777" w:rsidR="008941B2" w:rsidRPr="008941B2" w:rsidRDefault="008941B2" w:rsidP="008941B2">
      <w:pPr>
        <w:suppressAutoHyphens w:val="0"/>
        <w:ind w:firstLine="0"/>
        <w:rPr>
          <w:rFonts w:asciiTheme="minorHAnsi" w:hAnsiTheme="minorHAnsi" w:cstheme="minorHAnsi"/>
          <w:b/>
          <w:sz w:val="36"/>
          <w:szCs w:val="36"/>
          <w:lang w:eastAsia="cs-CZ"/>
        </w:rPr>
      </w:pPr>
      <w:r w:rsidRPr="008941B2">
        <w:rPr>
          <w:rFonts w:asciiTheme="minorHAnsi" w:hAnsiTheme="minorHAnsi" w:cstheme="minorHAnsi"/>
          <w:b/>
          <w:sz w:val="36"/>
          <w:szCs w:val="36"/>
          <w:lang w:eastAsia="cs-CZ"/>
        </w:rPr>
        <w:t>Městské divadlo Brno – Hudební scéna</w:t>
      </w:r>
    </w:p>
    <w:p w14:paraId="7235F151" w14:textId="77777777" w:rsidR="008941B2" w:rsidRPr="008941B2" w:rsidRDefault="008941B2" w:rsidP="008941B2">
      <w:pPr>
        <w:ind w:firstLine="0"/>
        <w:rPr>
          <w:rFonts w:ascii="Titillium" w:hAnsi="Titillium"/>
          <w:b/>
          <w:bCs/>
          <w:u w:val="single"/>
        </w:rPr>
      </w:pPr>
    </w:p>
    <w:p w14:paraId="710A409C" w14:textId="3EDEA3BA" w:rsidR="001721D1" w:rsidRPr="001721D1" w:rsidRDefault="001721D1" w:rsidP="001721D1">
      <w:pPr>
        <w:pStyle w:val="Odstavecseseznamem"/>
        <w:ind w:firstLine="0"/>
        <w:jc w:val="center"/>
        <w:rPr>
          <w:rFonts w:asciiTheme="minorHAnsi" w:hAnsiTheme="minorHAnsi" w:cstheme="minorHAnsi"/>
          <w:sz w:val="32"/>
          <w:szCs w:val="32"/>
        </w:rPr>
      </w:pPr>
      <w:r>
        <w:rPr>
          <w:rFonts w:asciiTheme="minorHAnsi" w:hAnsiTheme="minorHAnsi" w:cstheme="minorHAnsi"/>
          <w:sz w:val="32"/>
          <w:szCs w:val="32"/>
        </w:rPr>
        <w:t xml:space="preserve">Dodávka a montáž pohonů a </w:t>
      </w:r>
      <w:r w:rsidRPr="001721D1">
        <w:rPr>
          <w:rFonts w:asciiTheme="minorHAnsi" w:hAnsiTheme="minorHAnsi" w:cstheme="minorHAnsi"/>
          <w:sz w:val="32"/>
          <w:szCs w:val="32"/>
        </w:rPr>
        <w:t xml:space="preserve">řízení </w:t>
      </w:r>
      <w:r w:rsidR="00D80967">
        <w:rPr>
          <w:rFonts w:asciiTheme="minorHAnsi" w:hAnsiTheme="minorHAnsi" w:cstheme="minorHAnsi"/>
          <w:sz w:val="32"/>
          <w:szCs w:val="32"/>
        </w:rPr>
        <w:t xml:space="preserve">bodových </w:t>
      </w:r>
      <w:r w:rsidRPr="001721D1">
        <w:rPr>
          <w:rFonts w:asciiTheme="minorHAnsi" w:hAnsiTheme="minorHAnsi" w:cstheme="minorHAnsi"/>
          <w:sz w:val="32"/>
          <w:szCs w:val="32"/>
        </w:rPr>
        <w:t>tahů</w:t>
      </w:r>
      <w:r>
        <w:rPr>
          <w:rFonts w:asciiTheme="minorHAnsi" w:hAnsiTheme="minorHAnsi" w:cstheme="minorHAnsi"/>
          <w:sz w:val="32"/>
          <w:szCs w:val="32"/>
        </w:rPr>
        <w:t xml:space="preserve"> na bočních jevištích</w:t>
      </w:r>
    </w:p>
    <w:p w14:paraId="2F5F4D92" w14:textId="6C637CCF" w:rsidR="008941B2" w:rsidRPr="008941B2" w:rsidRDefault="008941B2" w:rsidP="001721D1">
      <w:pPr>
        <w:pStyle w:val="GGNadpis1"/>
        <w:numPr>
          <w:ilvl w:val="0"/>
          <w:numId w:val="18"/>
        </w:numPr>
        <w:rPr>
          <w:rFonts w:asciiTheme="minorHAnsi" w:hAnsiTheme="minorHAnsi" w:cstheme="minorHAnsi"/>
        </w:rPr>
      </w:pPr>
      <w:r w:rsidRPr="008941B2">
        <w:rPr>
          <w:rFonts w:asciiTheme="minorHAnsi" w:hAnsiTheme="minorHAnsi" w:cstheme="minorHAnsi"/>
        </w:rPr>
        <w:t>Úvod</w:t>
      </w:r>
      <w:bookmarkEnd w:id="1"/>
    </w:p>
    <w:p w14:paraId="0EFF0C12" w14:textId="77777777" w:rsidR="001721D1" w:rsidRDefault="001721D1" w:rsidP="001721D1">
      <w:pPr>
        <w:pStyle w:val="Odstavecseseznamem"/>
        <w:ind w:left="0" w:firstLine="0"/>
        <w:jc w:val="left"/>
        <w:rPr>
          <w:rFonts w:ascii="Titillium" w:hAnsi="Titillium"/>
        </w:rPr>
      </w:pPr>
      <w:bookmarkStart w:id="2" w:name="_Toc164823576"/>
      <w:bookmarkStart w:id="3" w:name="_Toc164678590"/>
      <w:bookmarkStart w:id="4" w:name="_Toc164221148"/>
      <w:bookmarkEnd w:id="2"/>
      <w:bookmarkEnd w:id="3"/>
      <w:bookmarkEnd w:id="4"/>
      <w:r w:rsidRPr="001721D1">
        <w:rPr>
          <w:rFonts w:ascii="Titillium" w:hAnsi="Titillium"/>
        </w:rPr>
        <w:t xml:space="preserve">Tato dokumentace popisuje doplnění bodových tahů na bočních jevištích Hudební scény. </w:t>
      </w:r>
    </w:p>
    <w:p w14:paraId="300DAB8B" w14:textId="77777777" w:rsidR="001721D1" w:rsidRPr="001721D1" w:rsidRDefault="001721D1" w:rsidP="001721D1">
      <w:pPr>
        <w:pStyle w:val="Odstavecseseznamem"/>
        <w:ind w:left="0" w:firstLine="0"/>
        <w:jc w:val="left"/>
        <w:rPr>
          <w:rFonts w:ascii="Titillium" w:hAnsi="Titillium"/>
        </w:rPr>
      </w:pPr>
    </w:p>
    <w:p w14:paraId="1E03E900" w14:textId="77777777" w:rsidR="008941B2" w:rsidRPr="008941B2" w:rsidRDefault="008941B2" w:rsidP="001721D1">
      <w:pPr>
        <w:pStyle w:val="GGNadpis1"/>
        <w:numPr>
          <w:ilvl w:val="0"/>
          <w:numId w:val="18"/>
        </w:numPr>
        <w:rPr>
          <w:rFonts w:asciiTheme="minorHAnsi" w:hAnsiTheme="minorHAnsi" w:cstheme="minorHAnsi"/>
        </w:rPr>
      </w:pPr>
      <w:bookmarkStart w:id="5" w:name="_Toc62036098"/>
      <w:r w:rsidRPr="008941B2">
        <w:rPr>
          <w:rFonts w:asciiTheme="minorHAnsi" w:hAnsiTheme="minorHAnsi" w:cstheme="minorHAnsi"/>
        </w:rPr>
        <w:t>Technický a funkční popis nového tahového zařízení</w:t>
      </w:r>
      <w:bookmarkEnd w:id="5"/>
    </w:p>
    <w:p w14:paraId="3907040F" w14:textId="6967A689" w:rsidR="00486B30" w:rsidRPr="00873FFD" w:rsidRDefault="00837916" w:rsidP="001721D1">
      <w:pPr>
        <w:pStyle w:val="GGNadpis2"/>
        <w:numPr>
          <w:ilvl w:val="1"/>
          <w:numId w:val="19"/>
        </w:numPr>
        <w:ind w:left="567" w:hanging="556"/>
        <w:rPr>
          <w:rFonts w:ascii="Titillium" w:hAnsi="Titillium"/>
          <w:szCs w:val="22"/>
        </w:rPr>
      </w:pPr>
      <w:r w:rsidRPr="00873FFD">
        <w:rPr>
          <w:rFonts w:ascii="Titillium" w:hAnsi="Titillium"/>
          <w:szCs w:val="22"/>
        </w:rPr>
        <w:t>Technick</w:t>
      </w:r>
      <w:r w:rsidR="0019189D" w:rsidRPr="00873FFD">
        <w:rPr>
          <w:rFonts w:ascii="Titillium" w:hAnsi="Titillium"/>
          <w:szCs w:val="22"/>
        </w:rPr>
        <w:t>é parametry a</w:t>
      </w:r>
      <w:r w:rsidRPr="00873FFD">
        <w:rPr>
          <w:rFonts w:ascii="Titillium" w:hAnsi="Titillium"/>
          <w:szCs w:val="22"/>
        </w:rPr>
        <w:t xml:space="preserve"> popis nových bodových tahů na bočních jevištích</w:t>
      </w:r>
    </w:p>
    <w:p w14:paraId="39EF6413" w14:textId="77777777" w:rsidR="001721D1" w:rsidRDefault="001721D1" w:rsidP="001721D1">
      <w:pPr>
        <w:ind w:firstLine="0"/>
        <w:rPr>
          <w:rFonts w:ascii="Titillium" w:hAnsi="Titillium"/>
          <w:b/>
          <w:bCs/>
          <w:szCs w:val="22"/>
        </w:rPr>
      </w:pPr>
    </w:p>
    <w:p w14:paraId="196A8D51" w14:textId="77777777" w:rsidR="001721D1" w:rsidRPr="009304EC" w:rsidRDefault="001721D1" w:rsidP="001721D1">
      <w:pPr>
        <w:pStyle w:val="GGNadpis2"/>
        <w:numPr>
          <w:ilvl w:val="1"/>
          <w:numId w:val="0"/>
        </w:numPr>
        <w:tabs>
          <w:tab w:val="num" w:pos="1134"/>
        </w:tabs>
        <w:ind w:left="1134" w:hanging="567"/>
        <w:rPr>
          <w:rFonts w:asciiTheme="minorHAnsi" w:hAnsiTheme="minorHAnsi" w:cstheme="minorHAnsi"/>
        </w:rPr>
      </w:pPr>
      <w:r w:rsidRPr="009304EC">
        <w:rPr>
          <w:rFonts w:asciiTheme="minorHAnsi" w:hAnsiTheme="minorHAnsi" w:cstheme="minorHAnsi"/>
        </w:rPr>
        <w:t>Technické parametry nových tahů</w:t>
      </w:r>
    </w:p>
    <w:tbl>
      <w:tblPr>
        <w:tblW w:w="9777" w:type="dxa"/>
        <w:tblLayout w:type="fixed"/>
        <w:tblLook w:val="0000" w:firstRow="0" w:lastRow="0" w:firstColumn="0" w:lastColumn="0" w:noHBand="0" w:noVBand="0"/>
      </w:tblPr>
      <w:tblGrid>
        <w:gridCol w:w="4888"/>
        <w:gridCol w:w="4889"/>
      </w:tblGrid>
      <w:tr w:rsidR="001721D1" w:rsidRPr="00873FFD" w14:paraId="7B36C88C" w14:textId="77777777" w:rsidTr="001721D1">
        <w:tc>
          <w:tcPr>
            <w:tcW w:w="4888" w:type="dxa"/>
            <w:tcBorders>
              <w:bottom w:val="single" w:sz="4" w:space="0" w:color="000000"/>
            </w:tcBorders>
          </w:tcPr>
          <w:p w14:paraId="27BC2183" w14:textId="77777777"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Nosnost</w:t>
            </w:r>
          </w:p>
        </w:tc>
        <w:tc>
          <w:tcPr>
            <w:tcW w:w="4889" w:type="dxa"/>
            <w:tcBorders>
              <w:left w:val="single" w:sz="4" w:space="0" w:color="000000"/>
              <w:bottom w:val="single" w:sz="4" w:space="0" w:color="000000"/>
            </w:tcBorders>
          </w:tcPr>
          <w:p w14:paraId="775E6432" w14:textId="6F4A41C4"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 xml:space="preserve">500 kg </w:t>
            </w:r>
          </w:p>
        </w:tc>
      </w:tr>
      <w:tr w:rsidR="001721D1" w:rsidRPr="00873FFD" w14:paraId="2E089CD2" w14:textId="77777777" w:rsidTr="001721D1">
        <w:tc>
          <w:tcPr>
            <w:tcW w:w="4888" w:type="dxa"/>
            <w:tcBorders>
              <w:top w:val="single" w:sz="4" w:space="0" w:color="000000"/>
              <w:bottom w:val="single" w:sz="4" w:space="0" w:color="000000"/>
            </w:tcBorders>
          </w:tcPr>
          <w:p w14:paraId="7FB8A2C2" w14:textId="77777777"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 xml:space="preserve">Rychlost zdvihu </w:t>
            </w:r>
          </w:p>
        </w:tc>
        <w:tc>
          <w:tcPr>
            <w:tcW w:w="4889" w:type="dxa"/>
            <w:tcBorders>
              <w:top w:val="single" w:sz="4" w:space="0" w:color="000000"/>
              <w:left w:val="single" w:sz="4" w:space="0" w:color="000000"/>
              <w:bottom w:val="single" w:sz="4" w:space="0" w:color="000000"/>
            </w:tcBorders>
          </w:tcPr>
          <w:p w14:paraId="6948EF13" w14:textId="7486434E"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 xml:space="preserve">Regulovaná do 0,2 m/s </w:t>
            </w:r>
          </w:p>
        </w:tc>
      </w:tr>
      <w:tr w:rsidR="001721D1" w:rsidRPr="00873FFD" w14:paraId="003EC6C4" w14:textId="77777777" w:rsidTr="001721D1">
        <w:tc>
          <w:tcPr>
            <w:tcW w:w="4888" w:type="dxa"/>
            <w:tcBorders>
              <w:top w:val="single" w:sz="4" w:space="0" w:color="000000"/>
              <w:bottom w:val="single" w:sz="4" w:space="0" w:color="000000"/>
            </w:tcBorders>
          </w:tcPr>
          <w:p w14:paraId="1B74F3DE" w14:textId="77777777"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Zdvih</w:t>
            </w:r>
          </w:p>
        </w:tc>
        <w:tc>
          <w:tcPr>
            <w:tcW w:w="4889" w:type="dxa"/>
            <w:tcBorders>
              <w:top w:val="single" w:sz="4" w:space="0" w:color="000000"/>
              <w:left w:val="single" w:sz="4" w:space="0" w:color="000000"/>
              <w:bottom w:val="single" w:sz="4" w:space="0" w:color="000000"/>
            </w:tcBorders>
          </w:tcPr>
          <w:p w14:paraId="70BC3B60" w14:textId="6449DEC1"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Ca 10 000 mm</w:t>
            </w:r>
          </w:p>
        </w:tc>
      </w:tr>
      <w:tr w:rsidR="001721D1" w:rsidRPr="00873FFD" w14:paraId="0FFFB5C0" w14:textId="77777777" w:rsidTr="001721D1">
        <w:tc>
          <w:tcPr>
            <w:tcW w:w="4888" w:type="dxa"/>
            <w:tcBorders>
              <w:top w:val="single" w:sz="4" w:space="0" w:color="000000"/>
              <w:bottom w:val="single" w:sz="4" w:space="0" w:color="000000"/>
            </w:tcBorders>
          </w:tcPr>
          <w:p w14:paraId="035C0E78" w14:textId="00EA03DC"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Typ pohonu</w:t>
            </w:r>
          </w:p>
        </w:tc>
        <w:tc>
          <w:tcPr>
            <w:tcW w:w="4889" w:type="dxa"/>
            <w:tcBorders>
              <w:top w:val="single" w:sz="4" w:space="0" w:color="000000"/>
              <w:left w:val="single" w:sz="4" w:space="0" w:color="000000"/>
              <w:bottom w:val="single" w:sz="4" w:space="0" w:color="000000"/>
            </w:tcBorders>
          </w:tcPr>
          <w:p w14:paraId="7DA3CD16" w14:textId="271D3CDA" w:rsidR="001721D1" w:rsidRPr="00873FFD" w:rsidRDefault="001721D1" w:rsidP="00873FFD">
            <w:pPr>
              <w:snapToGrid w:val="0"/>
              <w:ind w:left="533" w:firstLine="0"/>
              <w:rPr>
                <w:rFonts w:asciiTheme="minorHAnsi" w:hAnsiTheme="minorHAnsi" w:cstheme="minorHAnsi"/>
              </w:rPr>
            </w:pPr>
            <w:r w:rsidRPr="00873FFD">
              <w:rPr>
                <w:rFonts w:asciiTheme="minorHAnsi" w:hAnsiTheme="minorHAnsi" w:cstheme="minorHAnsi"/>
                <w:szCs w:val="22"/>
              </w:rPr>
              <w:t xml:space="preserve">bodový tah s fixní </w:t>
            </w:r>
            <w:proofErr w:type="spellStart"/>
            <w:r w:rsidRPr="00873FFD">
              <w:rPr>
                <w:rFonts w:asciiTheme="minorHAnsi" w:hAnsiTheme="minorHAnsi" w:cstheme="minorHAnsi"/>
                <w:szCs w:val="22"/>
              </w:rPr>
              <w:t>pohonovou</w:t>
            </w:r>
            <w:proofErr w:type="spellEnd"/>
            <w:r w:rsidRPr="00873FFD">
              <w:rPr>
                <w:rFonts w:asciiTheme="minorHAnsi" w:hAnsiTheme="minorHAnsi" w:cstheme="minorHAnsi"/>
                <w:szCs w:val="22"/>
              </w:rPr>
              <w:t xml:space="preserve"> jednotkou a pojízdnou kladnicí po stávajícím I profilu</w:t>
            </w:r>
          </w:p>
        </w:tc>
      </w:tr>
      <w:tr w:rsidR="001721D1" w:rsidRPr="00873FFD" w14:paraId="28A91B19" w14:textId="77777777" w:rsidTr="001721D1">
        <w:tc>
          <w:tcPr>
            <w:tcW w:w="4888" w:type="dxa"/>
            <w:tcBorders>
              <w:top w:val="single" w:sz="4" w:space="0" w:color="000000"/>
              <w:bottom w:val="single" w:sz="4" w:space="0" w:color="000000"/>
            </w:tcBorders>
          </w:tcPr>
          <w:p w14:paraId="5FEC3188" w14:textId="6823E5D0" w:rsidR="001721D1" w:rsidRPr="00873FFD" w:rsidRDefault="00873FFD" w:rsidP="00F40006">
            <w:pPr>
              <w:snapToGrid w:val="0"/>
              <w:rPr>
                <w:rFonts w:asciiTheme="minorHAnsi" w:hAnsiTheme="minorHAnsi" w:cstheme="minorHAnsi"/>
              </w:rPr>
            </w:pPr>
            <w:r w:rsidRPr="00873FFD">
              <w:rPr>
                <w:rFonts w:asciiTheme="minorHAnsi" w:hAnsiTheme="minorHAnsi" w:cstheme="minorHAnsi"/>
                <w:szCs w:val="22"/>
              </w:rPr>
              <w:t xml:space="preserve">Umístění </w:t>
            </w:r>
            <w:proofErr w:type="spellStart"/>
            <w:r w:rsidRPr="00873FFD">
              <w:rPr>
                <w:rFonts w:asciiTheme="minorHAnsi" w:hAnsiTheme="minorHAnsi" w:cstheme="minorHAnsi"/>
                <w:szCs w:val="22"/>
              </w:rPr>
              <w:t>pohonových</w:t>
            </w:r>
            <w:proofErr w:type="spellEnd"/>
            <w:r w:rsidRPr="00873FFD">
              <w:rPr>
                <w:rFonts w:asciiTheme="minorHAnsi" w:hAnsiTheme="minorHAnsi" w:cstheme="minorHAnsi"/>
                <w:szCs w:val="22"/>
              </w:rPr>
              <w:t xml:space="preserve"> jednotek</w:t>
            </w:r>
          </w:p>
        </w:tc>
        <w:tc>
          <w:tcPr>
            <w:tcW w:w="4889" w:type="dxa"/>
            <w:tcBorders>
              <w:top w:val="single" w:sz="4" w:space="0" w:color="000000"/>
              <w:left w:val="single" w:sz="4" w:space="0" w:color="000000"/>
              <w:bottom w:val="single" w:sz="4" w:space="0" w:color="000000"/>
            </w:tcBorders>
          </w:tcPr>
          <w:p w14:paraId="033523BF" w14:textId="4CD9FD50" w:rsidR="001721D1" w:rsidRPr="00873FFD" w:rsidRDefault="00873FFD" w:rsidP="00873FFD">
            <w:pPr>
              <w:snapToGrid w:val="0"/>
              <w:rPr>
                <w:rFonts w:asciiTheme="minorHAnsi" w:hAnsiTheme="minorHAnsi" w:cstheme="minorHAnsi"/>
              </w:rPr>
            </w:pPr>
            <w:r w:rsidRPr="00873FFD">
              <w:rPr>
                <w:rFonts w:asciiTheme="minorHAnsi" w:hAnsiTheme="minorHAnsi" w:cstheme="minorHAnsi"/>
              </w:rPr>
              <w:t>na stěně bočních jevišť</w:t>
            </w:r>
          </w:p>
        </w:tc>
      </w:tr>
      <w:tr w:rsidR="001721D1" w:rsidRPr="00873FFD" w14:paraId="1F31F2C9" w14:textId="77777777" w:rsidTr="001721D1">
        <w:tc>
          <w:tcPr>
            <w:tcW w:w="4888" w:type="dxa"/>
            <w:tcBorders>
              <w:top w:val="single" w:sz="4" w:space="0" w:color="000000"/>
              <w:bottom w:val="single" w:sz="4" w:space="0" w:color="000000"/>
            </w:tcBorders>
          </w:tcPr>
          <w:p w14:paraId="7D5276DC" w14:textId="4DA18A8B" w:rsidR="001721D1" w:rsidRPr="00873FFD" w:rsidRDefault="001721D1" w:rsidP="00F40006">
            <w:pPr>
              <w:snapToGrid w:val="0"/>
              <w:rPr>
                <w:rFonts w:asciiTheme="minorHAnsi" w:hAnsiTheme="minorHAnsi" w:cstheme="minorHAnsi"/>
              </w:rPr>
            </w:pPr>
            <w:r w:rsidRPr="00873FFD">
              <w:rPr>
                <w:rFonts w:asciiTheme="minorHAnsi" w:hAnsiTheme="minorHAnsi" w:cstheme="minorHAnsi"/>
                <w:szCs w:val="22"/>
              </w:rPr>
              <w:t>Pojezd kladnice po I profilu</w:t>
            </w:r>
          </w:p>
        </w:tc>
        <w:tc>
          <w:tcPr>
            <w:tcW w:w="4889" w:type="dxa"/>
            <w:tcBorders>
              <w:top w:val="single" w:sz="4" w:space="0" w:color="000000"/>
              <w:left w:val="single" w:sz="4" w:space="0" w:color="000000"/>
              <w:bottom w:val="single" w:sz="4" w:space="0" w:color="000000"/>
            </w:tcBorders>
          </w:tcPr>
          <w:p w14:paraId="5FA6DB25" w14:textId="3E7CEAF7" w:rsidR="001721D1" w:rsidRPr="00873FFD" w:rsidRDefault="001721D1" w:rsidP="00F40006">
            <w:pPr>
              <w:snapToGrid w:val="0"/>
              <w:rPr>
                <w:rFonts w:asciiTheme="minorHAnsi" w:hAnsiTheme="minorHAnsi" w:cstheme="minorHAnsi"/>
              </w:rPr>
            </w:pPr>
            <w:r w:rsidRPr="00873FFD">
              <w:rPr>
                <w:rFonts w:asciiTheme="minorHAnsi" w:hAnsiTheme="minorHAnsi" w:cstheme="minorHAnsi"/>
                <w:szCs w:val="22"/>
              </w:rPr>
              <w:t>cca 11,0 m</w:t>
            </w:r>
            <w:r w:rsidRPr="00873FFD">
              <w:rPr>
                <w:rFonts w:asciiTheme="minorHAnsi" w:hAnsiTheme="minorHAnsi" w:cstheme="minorHAnsi"/>
              </w:rPr>
              <w:t xml:space="preserve"> </w:t>
            </w:r>
          </w:p>
        </w:tc>
      </w:tr>
      <w:tr w:rsidR="00873FFD" w:rsidRPr="00873FFD" w14:paraId="75ACE24E" w14:textId="77777777" w:rsidTr="001721D1">
        <w:tc>
          <w:tcPr>
            <w:tcW w:w="4888" w:type="dxa"/>
            <w:tcBorders>
              <w:top w:val="single" w:sz="4" w:space="0" w:color="000000"/>
              <w:bottom w:val="single" w:sz="4" w:space="0" w:color="000000"/>
            </w:tcBorders>
          </w:tcPr>
          <w:p w14:paraId="7E3BD476" w14:textId="2A0FB933" w:rsidR="00873FFD" w:rsidRPr="00873FFD" w:rsidRDefault="00873FFD" w:rsidP="00F40006">
            <w:pPr>
              <w:snapToGrid w:val="0"/>
              <w:rPr>
                <w:rFonts w:asciiTheme="minorHAnsi" w:hAnsiTheme="minorHAnsi" w:cstheme="minorHAnsi"/>
                <w:szCs w:val="22"/>
              </w:rPr>
            </w:pPr>
            <w:r>
              <w:rPr>
                <w:rFonts w:asciiTheme="minorHAnsi" w:hAnsiTheme="minorHAnsi" w:cstheme="minorHAnsi"/>
                <w:szCs w:val="22"/>
              </w:rPr>
              <w:t>P</w:t>
            </w:r>
            <w:r w:rsidRPr="00873FFD">
              <w:rPr>
                <w:rFonts w:asciiTheme="minorHAnsi" w:hAnsiTheme="minorHAnsi" w:cstheme="minorHAnsi"/>
                <w:szCs w:val="22"/>
              </w:rPr>
              <w:t>ojezd kladnice</w:t>
            </w:r>
          </w:p>
        </w:tc>
        <w:tc>
          <w:tcPr>
            <w:tcW w:w="4889" w:type="dxa"/>
            <w:tcBorders>
              <w:top w:val="single" w:sz="4" w:space="0" w:color="000000"/>
              <w:left w:val="single" w:sz="4" w:space="0" w:color="000000"/>
              <w:bottom w:val="single" w:sz="4" w:space="0" w:color="000000"/>
            </w:tcBorders>
          </w:tcPr>
          <w:p w14:paraId="5852A5BB" w14:textId="0A141F5D" w:rsidR="00873FFD" w:rsidRPr="00873FFD" w:rsidRDefault="00873FFD" w:rsidP="00873FFD">
            <w:pPr>
              <w:snapToGrid w:val="0"/>
              <w:rPr>
                <w:rFonts w:asciiTheme="minorHAnsi" w:hAnsiTheme="minorHAnsi" w:cstheme="minorHAnsi"/>
                <w:szCs w:val="22"/>
              </w:rPr>
            </w:pPr>
            <w:r w:rsidRPr="00873FFD">
              <w:rPr>
                <w:rFonts w:asciiTheme="minorHAnsi" w:hAnsiTheme="minorHAnsi" w:cstheme="minorHAnsi"/>
                <w:szCs w:val="22"/>
              </w:rPr>
              <w:t>manuální, tahem za kladnice z podlahy jeviště</w:t>
            </w:r>
          </w:p>
        </w:tc>
      </w:tr>
      <w:tr w:rsidR="00873FFD" w:rsidRPr="00873FFD" w14:paraId="7C48BDB7" w14:textId="77777777" w:rsidTr="001721D1">
        <w:tc>
          <w:tcPr>
            <w:tcW w:w="4888" w:type="dxa"/>
            <w:tcBorders>
              <w:top w:val="single" w:sz="4" w:space="0" w:color="000000"/>
              <w:bottom w:val="single" w:sz="4" w:space="0" w:color="000000"/>
            </w:tcBorders>
          </w:tcPr>
          <w:p w14:paraId="048C6A26" w14:textId="76A93E87" w:rsidR="00873FFD" w:rsidRPr="00873FFD" w:rsidRDefault="00873FFD" w:rsidP="00F40006">
            <w:pPr>
              <w:snapToGrid w:val="0"/>
              <w:rPr>
                <w:rFonts w:asciiTheme="minorHAnsi" w:hAnsiTheme="minorHAnsi" w:cstheme="minorHAnsi"/>
                <w:szCs w:val="22"/>
              </w:rPr>
            </w:pPr>
            <w:r w:rsidRPr="00873FFD">
              <w:rPr>
                <w:rFonts w:asciiTheme="minorHAnsi" w:hAnsiTheme="minorHAnsi" w:cstheme="minorHAnsi"/>
                <w:szCs w:val="22"/>
              </w:rPr>
              <w:t>Ochrana proti přetížení</w:t>
            </w:r>
          </w:p>
        </w:tc>
        <w:tc>
          <w:tcPr>
            <w:tcW w:w="4889" w:type="dxa"/>
            <w:tcBorders>
              <w:top w:val="single" w:sz="4" w:space="0" w:color="000000"/>
              <w:left w:val="single" w:sz="4" w:space="0" w:color="000000"/>
              <w:bottom w:val="single" w:sz="4" w:space="0" w:color="000000"/>
            </w:tcBorders>
          </w:tcPr>
          <w:p w14:paraId="19D0DA05" w14:textId="6ACC081A" w:rsidR="00873FFD" w:rsidRPr="00873FFD" w:rsidRDefault="00873FFD" w:rsidP="00873FFD">
            <w:pPr>
              <w:snapToGrid w:val="0"/>
              <w:rPr>
                <w:rFonts w:asciiTheme="minorHAnsi" w:hAnsiTheme="minorHAnsi" w:cstheme="minorHAnsi"/>
                <w:szCs w:val="22"/>
              </w:rPr>
            </w:pPr>
            <w:r w:rsidRPr="00873FFD">
              <w:rPr>
                <w:rFonts w:asciiTheme="minorHAnsi" w:hAnsiTheme="minorHAnsi" w:cstheme="minorHAnsi"/>
                <w:szCs w:val="22"/>
              </w:rPr>
              <w:t>tenzometrické snímače</w:t>
            </w:r>
          </w:p>
        </w:tc>
      </w:tr>
      <w:tr w:rsidR="00873FFD" w:rsidRPr="00873FFD" w14:paraId="5F51C981" w14:textId="77777777" w:rsidTr="001721D1">
        <w:tc>
          <w:tcPr>
            <w:tcW w:w="4888" w:type="dxa"/>
            <w:tcBorders>
              <w:top w:val="single" w:sz="4" w:space="0" w:color="000000"/>
              <w:bottom w:val="single" w:sz="4" w:space="0" w:color="000000"/>
            </w:tcBorders>
          </w:tcPr>
          <w:p w14:paraId="3143DECE" w14:textId="21203D82" w:rsidR="00873FFD" w:rsidRPr="00873FFD" w:rsidRDefault="00873FFD" w:rsidP="00F40006">
            <w:pPr>
              <w:snapToGrid w:val="0"/>
              <w:rPr>
                <w:rFonts w:asciiTheme="minorHAnsi" w:hAnsiTheme="minorHAnsi" w:cstheme="minorHAnsi"/>
                <w:szCs w:val="22"/>
              </w:rPr>
            </w:pPr>
            <w:r>
              <w:rPr>
                <w:rFonts w:asciiTheme="minorHAnsi" w:hAnsiTheme="minorHAnsi" w:cstheme="minorHAnsi"/>
                <w:szCs w:val="22"/>
              </w:rPr>
              <w:t>P</w:t>
            </w:r>
            <w:r w:rsidRPr="00873FFD">
              <w:rPr>
                <w:rFonts w:asciiTheme="minorHAnsi" w:hAnsiTheme="minorHAnsi" w:cstheme="minorHAnsi"/>
                <w:szCs w:val="22"/>
              </w:rPr>
              <w:t>olohovaní kladnice</w:t>
            </w:r>
          </w:p>
        </w:tc>
        <w:tc>
          <w:tcPr>
            <w:tcW w:w="4889" w:type="dxa"/>
            <w:tcBorders>
              <w:top w:val="single" w:sz="4" w:space="0" w:color="000000"/>
              <w:left w:val="single" w:sz="4" w:space="0" w:color="000000"/>
              <w:bottom w:val="single" w:sz="4" w:space="0" w:color="000000"/>
            </w:tcBorders>
          </w:tcPr>
          <w:p w14:paraId="13C74940" w14:textId="6E4A2997" w:rsidR="00873FFD" w:rsidRPr="00873FFD" w:rsidRDefault="00873FFD" w:rsidP="00873FFD">
            <w:pPr>
              <w:snapToGrid w:val="0"/>
              <w:ind w:left="535" w:firstLine="32"/>
              <w:rPr>
                <w:rFonts w:asciiTheme="minorHAnsi" w:hAnsiTheme="minorHAnsi" w:cstheme="minorHAnsi"/>
                <w:szCs w:val="22"/>
              </w:rPr>
            </w:pPr>
            <w:r w:rsidRPr="00873FFD">
              <w:rPr>
                <w:rFonts w:asciiTheme="minorHAnsi" w:hAnsiTheme="minorHAnsi" w:cstheme="minorHAnsi"/>
                <w:szCs w:val="22"/>
              </w:rPr>
              <w:t>přesné výškové, jízda na danou polohu s přesností ± 2,5mm</w:t>
            </w:r>
          </w:p>
        </w:tc>
      </w:tr>
      <w:tr w:rsidR="001721D1" w:rsidRPr="00873FFD" w14:paraId="79FA400E" w14:textId="77777777" w:rsidTr="001721D1">
        <w:tc>
          <w:tcPr>
            <w:tcW w:w="4888" w:type="dxa"/>
            <w:tcBorders>
              <w:top w:val="single" w:sz="4" w:space="0" w:color="000000"/>
            </w:tcBorders>
          </w:tcPr>
          <w:p w14:paraId="19D4E21A" w14:textId="77777777"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 xml:space="preserve">Počet kusů </w:t>
            </w:r>
          </w:p>
        </w:tc>
        <w:tc>
          <w:tcPr>
            <w:tcW w:w="4889" w:type="dxa"/>
            <w:tcBorders>
              <w:top w:val="single" w:sz="4" w:space="0" w:color="000000"/>
              <w:left w:val="single" w:sz="4" w:space="0" w:color="000000"/>
            </w:tcBorders>
          </w:tcPr>
          <w:p w14:paraId="16F2C19C" w14:textId="2A7D54F5" w:rsidR="001721D1" w:rsidRPr="00873FFD" w:rsidRDefault="001721D1" w:rsidP="00F40006">
            <w:pPr>
              <w:snapToGrid w:val="0"/>
              <w:rPr>
                <w:rFonts w:asciiTheme="minorHAnsi" w:hAnsiTheme="minorHAnsi" w:cstheme="minorHAnsi"/>
              </w:rPr>
            </w:pPr>
            <w:r w:rsidRPr="00873FFD">
              <w:rPr>
                <w:rFonts w:asciiTheme="minorHAnsi" w:hAnsiTheme="minorHAnsi" w:cstheme="minorHAnsi"/>
              </w:rPr>
              <w:t>4+4</w:t>
            </w:r>
          </w:p>
        </w:tc>
      </w:tr>
    </w:tbl>
    <w:p w14:paraId="17F61103" w14:textId="77777777" w:rsidR="001721D1" w:rsidRDefault="001721D1" w:rsidP="001721D1">
      <w:pPr>
        <w:ind w:firstLine="0"/>
        <w:rPr>
          <w:rFonts w:ascii="Titillium" w:hAnsi="Titillium"/>
          <w:b/>
          <w:bCs/>
          <w:szCs w:val="22"/>
        </w:rPr>
      </w:pPr>
    </w:p>
    <w:p w14:paraId="5D4C6452" w14:textId="77777777" w:rsidR="00486B30" w:rsidRDefault="00486B30" w:rsidP="00E77B16">
      <w:pPr>
        <w:ind w:firstLine="0"/>
        <w:rPr>
          <w:rFonts w:ascii="Titillium" w:hAnsi="Titillium"/>
          <w:szCs w:val="22"/>
        </w:rPr>
      </w:pPr>
    </w:p>
    <w:p w14:paraId="7E1E6645" w14:textId="17D75F9D" w:rsidR="001721D1" w:rsidRPr="000C35DE" w:rsidRDefault="001721D1" w:rsidP="00873FFD">
      <w:pPr>
        <w:pStyle w:val="GGNadpis2"/>
        <w:numPr>
          <w:ilvl w:val="1"/>
          <w:numId w:val="19"/>
        </w:numPr>
        <w:ind w:left="567" w:hanging="556"/>
        <w:rPr>
          <w:rFonts w:ascii="Titillium" w:hAnsi="Titillium"/>
          <w:b w:val="0"/>
          <w:bCs w:val="0"/>
          <w:szCs w:val="22"/>
        </w:rPr>
      </w:pPr>
      <w:r>
        <w:rPr>
          <w:rFonts w:ascii="Titillium" w:hAnsi="Titillium"/>
          <w:szCs w:val="22"/>
        </w:rPr>
        <w:t>Popis</w:t>
      </w:r>
      <w:r w:rsidRPr="000C35DE">
        <w:rPr>
          <w:rFonts w:ascii="Titillium" w:hAnsi="Titillium"/>
          <w:szCs w:val="22"/>
        </w:rPr>
        <w:t xml:space="preserve"> motorického bodového tahu</w:t>
      </w:r>
      <w:r>
        <w:rPr>
          <w:rFonts w:ascii="Titillium" w:hAnsi="Titillium"/>
          <w:szCs w:val="22"/>
        </w:rPr>
        <w:t xml:space="preserve"> a jeho umístění</w:t>
      </w:r>
      <w:r w:rsidRPr="000C35DE">
        <w:rPr>
          <w:rFonts w:ascii="Titillium" w:hAnsi="Titillium"/>
          <w:szCs w:val="22"/>
        </w:rPr>
        <w:t>:</w:t>
      </w:r>
    </w:p>
    <w:p w14:paraId="6F465F7F" w14:textId="77777777" w:rsidR="001721D1" w:rsidRDefault="001721D1" w:rsidP="001721D1">
      <w:pPr>
        <w:ind w:firstLine="0"/>
        <w:rPr>
          <w:rFonts w:ascii="Titillium" w:hAnsi="Titillium"/>
          <w:szCs w:val="22"/>
        </w:rPr>
      </w:pPr>
    </w:p>
    <w:p w14:paraId="79CA83D8" w14:textId="6F5E90FD" w:rsidR="001721D1" w:rsidRDefault="001721D1" w:rsidP="001721D1">
      <w:pPr>
        <w:ind w:firstLine="0"/>
        <w:rPr>
          <w:rFonts w:ascii="Titillium" w:hAnsi="Titillium"/>
          <w:szCs w:val="22"/>
        </w:rPr>
      </w:pPr>
      <w:r>
        <w:rPr>
          <w:rFonts w:ascii="Titillium" w:hAnsi="Titillium"/>
          <w:szCs w:val="22"/>
        </w:rPr>
        <w:t xml:space="preserve">Na každém bočním jevišti budou osazeny celkem 4 a 4 kusy bodových tahů. Vlastní </w:t>
      </w:r>
      <w:proofErr w:type="spellStart"/>
      <w:r>
        <w:rPr>
          <w:rFonts w:ascii="Titillium" w:hAnsi="Titillium"/>
          <w:szCs w:val="22"/>
        </w:rPr>
        <w:t>pohonová</w:t>
      </w:r>
      <w:proofErr w:type="spellEnd"/>
      <w:r>
        <w:rPr>
          <w:rFonts w:ascii="Titillium" w:hAnsi="Titillium"/>
          <w:szCs w:val="22"/>
        </w:rPr>
        <w:t xml:space="preserve"> jednotka bude umístěná na boční stěně jeviště</w:t>
      </w:r>
      <w:r w:rsidRPr="0019189D">
        <w:rPr>
          <w:rFonts w:ascii="Titillium" w:hAnsi="Titillium"/>
          <w:szCs w:val="22"/>
        </w:rPr>
        <w:t xml:space="preserve"> </w:t>
      </w:r>
      <w:r>
        <w:rPr>
          <w:rFonts w:ascii="Titillium" w:hAnsi="Titillium"/>
          <w:szCs w:val="22"/>
        </w:rPr>
        <w:t>v</w:t>
      </w:r>
      <w:r>
        <w:rPr>
          <w:rFonts w:ascii="Calibri" w:hAnsi="Calibri" w:cs="Calibri"/>
          <w:szCs w:val="22"/>
        </w:rPr>
        <w:t> </w:t>
      </w:r>
      <w:r>
        <w:rPr>
          <w:rFonts w:ascii="Titillium" w:hAnsi="Titillium"/>
          <w:szCs w:val="22"/>
        </w:rPr>
        <w:t>prostoru spodní technologické lávky. V</w:t>
      </w:r>
      <w:r>
        <w:rPr>
          <w:rFonts w:ascii="Calibri" w:hAnsi="Calibri" w:cs="Calibri"/>
          <w:szCs w:val="22"/>
        </w:rPr>
        <w:t xml:space="preserve"> tomto </w:t>
      </w:r>
      <w:r>
        <w:rPr>
          <w:rFonts w:ascii="Titillium" w:hAnsi="Titillium"/>
          <w:szCs w:val="22"/>
        </w:rPr>
        <w:t>prostoru jsou také umístěny stávající pohony nájezdových vozů a přístup k</w:t>
      </w:r>
      <w:r>
        <w:rPr>
          <w:rFonts w:ascii="Calibri" w:hAnsi="Calibri" w:cs="Calibri"/>
          <w:szCs w:val="22"/>
        </w:rPr>
        <w:t> </w:t>
      </w:r>
      <w:r>
        <w:rPr>
          <w:rFonts w:ascii="Titillium" w:hAnsi="Titillium"/>
          <w:szCs w:val="22"/>
        </w:rPr>
        <w:t>nim je zabezpe</w:t>
      </w:r>
      <w:r>
        <w:rPr>
          <w:rFonts w:ascii="Titillium" w:hAnsi="Titillium" w:cs="Titillium"/>
          <w:szCs w:val="22"/>
        </w:rPr>
        <w:t>č</w:t>
      </w:r>
      <w:r>
        <w:rPr>
          <w:rFonts w:ascii="Titillium" w:hAnsi="Titillium"/>
          <w:szCs w:val="22"/>
        </w:rPr>
        <w:t>en uzamykatelnou brankou. Lano bodového tahu bude od pohonu vedeno vertikálně směrem nahoru skrze horní obslužnou lávku. V</w:t>
      </w:r>
      <w:r>
        <w:rPr>
          <w:rFonts w:ascii="Calibri" w:hAnsi="Calibri" w:cs="Calibri"/>
          <w:szCs w:val="22"/>
        </w:rPr>
        <w:t> </w:t>
      </w:r>
      <w:r>
        <w:rPr>
          <w:rFonts w:ascii="Titillium" w:hAnsi="Titillium"/>
          <w:szCs w:val="22"/>
        </w:rPr>
        <w:t>místě prostupu lana bude stávající lávka upravena a doplněna o potřebné bezpečnostní zakrytování lana, aby nedošlo k jeho případnému poškození a aby se vyloučilo náhodného kontaktu osoby s</w:t>
      </w:r>
      <w:r>
        <w:rPr>
          <w:rFonts w:ascii="Calibri" w:hAnsi="Calibri" w:cs="Calibri"/>
          <w:szCs w:val="22"/>
        </w:rPr>
        <w:t> </w:t>
      </w:r>
      <w:r>
        <w:rPr>
          <w:rFonts w:ascii="Titillium" w:hAnsi="Titillium"/>
          <w:szCs w:val="22"/>
        </w:rPr>
        <w:t>t</w:t>
      </w:r>
      <w:r>
        <w:rPr>
          <w:rFonts w:ascii="Titillium" w:hAnsi="Titillium" w:cs="Titillium"/>
          <w:szCs w:val="22"/>
        </w:rPr>
        <w:t>í</w:t>
      </w:r>
      <w:r>
        <w:rPr>
          <w:rFonts w:ascii="Titillium" w:hAnsi="Titillium"/>
          <w:szCs w:val="22"/>
        </w:rPr>
        <w:t>mto lanem. Naho</w:t>
      </w:r>
      <w:r>
        <w:rPr>
          <w:rFonts w:ascii="Titillium" w:hAnsi="Titillium" w:cs="Titillium"/>
          <w:szCs w:val="22"/>
        </w:rPr>
        <w:t>ř</w:t>
      </w:r>
      <w:r>
        <w:rPr>
          <w:rFonts w:ascii="Titillium" w:hAnsi="Titillium"/>
          <w:szCs w:val="22"/>
        </w:rPr>
        <w:t>e pod stropem bo</w:t>
      </w:r>
      <w:r>
        <w:rPr>
          <w:rFonts w:ascii="Titillium" w:hAnsi="Titillium" w:cs="Titillium"/>
          <w:szCs w:val="22"/>
        </w:rPr>
        <w:t>č</w:t>
      </w:r>
      <w:r>
        <w:rPr>
          <w:rFonts w:ascii="Titillium" w:hAnsi="Titillium"/>
          <w:szCs w:val="22"/>
        </w:rPr>
        <w:t>n</w:t>
      </w:r>
      <w:r>
        <w:rPr>
          <w:rFonts w:ascii="Titillium" w:hAnsi="Titillium" w:cs="Titillium"/>
          <w:szCs w:val="22"/>
        </w:rPr>
        <w:t>í</w:t>
      </w:r>
      <w:r>
        <w:rPr>
          <w:rFonts w:ascii="Titillium" w:hAnsi="Titillium"/>
          <w:szCs w:val="22"/>
        </w:rPr>
        <w:t>ho jevi</w:t>
      </w:r>
      <w:r>
        <w:rPr>
          <w:rFonts w:ascii="Titillium" w:hAnsi="Titillium" w:cs="Titillium"/>
          <w:szCs w:val="22"/>
        </w:rPr>
        <w:t>š</w:t>
      </w:r>
      <w:r>
        <w:rPr>
          <w:rFonts w:ascii="Titillium" w:hAnsi="Titillium"/>
          <w:szCs w:val="22"/>
        </w:rPr>
        <w:t>t</w:t>
      </w:r>
      <w:r>
        <w:rPr>
          <w:rFonts w:ascii="Titillium" w:hAnsi="Titillium" w:cs="Titillium"/>
          <w:szCs w:val="22"/>
        </w:rPr>
        <w:t>ě</w:t>
      </w:r>
      <w:r>
        <w:rPr>
          <w:rFonts w:ascii="Titillium" w:hAnsi="Titillium"/>
          <w:szCs w:val="22"/>
        </w:rPr>
        <w:t xml:space="preserve"> bude um</w:t>
      </w:r>
      <w:r>
        <w:rPr>
          <w:rFonts w:ascii="Titillium" w:hAnsi="Titillium" w:cs="Titillium"/>
          <w:szCs w:val="22"/>
        </w:rPr>
        <w:t>í</w:t>
      </w:r>
      <w:r>
        <w:rPr>
          <w:rFonts w:ascii="Titillium" w:hAnsi="Titillium"/>
          <w:szCs w:val="22"/>
        </w:rPr>
        <w:t>st</w:t>
      </w:r>
      <w:r>
        <w:rPr>
          <w:rFonts w:ascii="Titillium" w:hAnsi="Titillium" w:cs="Titillium"/>
          <w:szCs w:val="22"/>
        </w:rPr>
        <w:t>ě</w:t>
      </w:r>
      <w:r>
        <w:rPr>
          <w:rFonts w:ascii="Titillium" w:hAnsi="Titillium"/>
          <w:szCs w:val="22"/>
        </w:rPr>
        <w:t>n</w:t>
      </w:r>
      <w:r>
        <w:rPr>
          <w:rFonts w:ascii="Titillium" w:hAnsi="Titillium" w:cs="Titillium"/>
          <w:szCs w:val="22"/>
        </w:rPr>
        <w:t>á</w:t>
      </w:r>
      <w:r>
        <w:rPr>
          <w:rFonts w:ascii="Titillium" w:hAnsi="Titillium"/>
          <w:szCs w:val="22"/>
        </w:rPr>
        <w:t xml:space="preserve"> kladka, kter</w:t>
      </w:r>
      <w:r>
        <w:rPr>
          <w:rFonts w:ascii="Titillium" w:hAnsi="Titillium" w:cs="Titillium"/>
          <w:szCs w:val="22"/>
        </w:rPr>
        <w:t>á</w:t>
      </w:r>
      <w:r>
        <w:rPr>
          <w:rFonts w:ascii="Titillium" w:hAnsi="Titillium"/>
          <w:szCs w:val="22"/>
        </w:rPr>
        <w:t xml:space="preserve"> p</w:t>
      </w:r>
      <w:r>
        <w:rPr>
          <w:rFonts w:ascii="Titillium" w:hAnsi="Titillium" w:cs="Titillium"/>
          <w:szCs w:val="22"/>
        </w:rPr>
        <w:t>ř</w:t>
      </w:r>
      <w:r>
        <w:rPr>
          <w:rFonts w:ascii="Titillium" w:hAnsi="Titillium"/>
          <w:szCs w:val="22"/>
        </w:rPr>
        <w:t>evede svisl</w:t>
      </w:r>
      <w:r>
        <w:rPr>
          <w:rFonts w:ascii="Titillium" w:hAnsi="Titillium" w:cs="Titillium"/>
          <w:szCs w:val="22"/>
        </w:rPr>
        <w:t>ý</w:t>
      </w:r>
      <w:r>
        <w:rPr>
          <w:rFonts w:ascii="Titillium" w:hAnsi="Titillium"/>
          <w:szCs w:val="22"/>
        </w:rPr>
        <w:t xml:space="preserve"> sm</w:t>
      </w:r>
      <w:r>
        <w:rPr>
          <w:rFonts w:ascii="Titillium" w:hAnsi="Titillium" w:cs="Titillium"/>
          <w:szCs w:val="22"/>
        </w:rPr>
        <w:t>ě</w:t>
      </w:r>
      <w:r>
        <w:rPr>
          <w:rFonts w:ascii="Titillium" w:hAnsi="Titillium"/>
          <w:szCs w:val="22"/>
        </w:rPr>
        <w:t>r lana na vodorovn</w:t>
      </w:r>
      <w:r>
        <w:rPr>
          <w:rFonts w:ascii="Titillium" w:hAnsi="Titillium" w:cs="Titillium"/>
          <w:szCs w:val="22"/>
        </w:rPr>
        <w:t>ý</w:t>
      </w:r>
      <w:r>
        <w:rPr>
          <w:rFonts w:ascii="Titillium" w:hAnsi="Titillium"/>
          <w:szCs w:val="22"/>
        </w:rPr>
        <w:t>, lano prochází pod</w:t>
      </w:r>
      <w:r w:rsidR="005E4069">
        <w:rPr>
          <w:rFonts w:ascii="Titillium" w:hAnsi="Titillium"/>
          <w:szCs w:val="22"/>
        </w:rPr>
        <w:t> </w:t>
      </w:r>
      <w:r>
        <w:rPr>
          <w:rFonts w:ascii="Titillium" w:hAnsi="Titillium"/>
          <w:szCs w:val="22"/>
        </w:rPr>
        <w:t>nosníkem a je uchyceno k</w:t>
      </w:r>
      <w:r>
        <w:rPr>
          <w:rFonts w:ascii="Calibri" w:hAnsi="Calibri" w:cs="Calibri"/>
          <w:szCs w:val="22"/>
        </w:rPr>
        <w:t> </w:t>
      </w:r>
      <w:r>
        <w:rPr>
          <w:rFonts w:ascii="Titillium" w:hAnsi="Titillium"/>
          <w:szCs w:val="22"/>
        </w:rPr>
        <w:t>pevn</w:t>
      </w:r>
      <w:r>
        <w:rPr>
          <w:rFonts w:ascii="Titillium" w:hAnsi="Titillium" w:cs="Titillium"/>
          <w:szCs w:val="22"/>
        </w:rPr>
        <w:t>é</w:t>
      </w:r>
      <w:r>
        <w:rPr>
          <w:rFonts w:ascii="Titillium" w:hAnsi="Titillium"/>
          <w:szCs w:val="22"/>
        </w:rPr>
        <w:t xml:space="preserve">mu </w:t>
      </w:r>
      <w:r>
        <w:rPr>
          <w:rFonts w:ascii="Titillium" w:hAnsi="Titillium" w:cs="Titillium"/>
          <w:szCs w:val="22"/>
        </w:rPr>
        <w:t>ú</w:t>
      </w:r>
      <w:r>
        <w:rPr>
          <w:rFonts w:ascii="Titillium" w:hAnsi="Titillium"/>
          <w:szCs w:val="22"/>
        </w:rPr>
        <w:t>chytu. Převáděcí kladka je umístěná v</w:t>
      </w:r>
      <w:r>
        <w:rPr>
          <w:rFonts w:ascii="Calibri" w:hAnsi="Calibri" w:cs="Calibri"/>
          <w:szCs w:val="22"/>
        </w:rPr>
        <w:t> </w:t>
      </w:r>
      <w:r>
        <w:rPr>
          <w:rFonts w:ascii="Titillium" w:hAnsi="Titillium"/>
          <w:szCs w:val="22"/>
        </w:rPr>
        <w:t>m</w:t>
      </w:r>
      <w:r>
        <w:rPr>
          <w:rFonts w:ascii="Titillium" w:hAnsi="Titillium" w:cs="Titillium"/>
          <w:szCs w:val="22"/>
        </w:rPr>
        <w:t>í</w:t>
      </w:r>
      <w:r>
        <w:rPr>
          <w:rFonts w:ascii="Titillium" w:hAnsi="Titillium"/>
          <w:szCs w:val="22"/>
        </w:rPr>
        <w:t>st</w:t>
      </w:r>
      <w:r>
        <w:rPr>
          <w:rFonts w:ascii="Titillium" w:hAnsi="Titillium" w:cs="Titillium"/>
          <w:szCs w:val="22"/>
        </w:rPr>
        <w:t>ě</w:t>
      </w:r>
      <w:r>
        <w:rPr>
          <w:rFonts w:ascii="Titillium" w:hAnsi="Titillium"/>
          <w:szCs w:val="22"/>
        </w:rPr>
        <w:t xml:space="preserve"> st</w:t>
      </w:r>
      <w:r>
        <w:rPr>
          <w:rFonts w:ascii="Titillium" w:hAnsi="Titillium" w:cs="Titillium"/>
          <w:szCs w:val="22"/>
        </w:rPr>
        <w:t>á</w:t>
      </w:r>
      <w:r>
        <w:rPr>
          <w:rFonts w:ascii="Titillium" w:hAnsi="Titillium"/>
          <w:szCs w:val="22"/>
        </w:rPr>
        <w:t>vaj</w:t>
      </w:r>
      <w:r>
        <w:rPr>
          <w:rFonts w:ascii="Titillium" w:hAnsi="Titillium" w:cs="Titillium"/>
          <w:szCs w:val="22"/>
        </w:rPr>
        <w:t>í</w:t>
      </w:r>
      <w:r>
        <w:rPr>
          <w:rFonts w:ascii="Titillium" w:hAnsi="Titillium"/>
          <w:szCs w:val="22"/>
        </w:rPr>
        <w:t>c</w:t>
      </w:r>
      <w:r>
        <w:rPr>
          <w:rFonts w:ascii="Titillium" w:hAnsi="Titillium" w:cs="Titillium"/>
          <w:szCs w:val="22"/>
        </w:rPr>
        <w:t>í</w:t>
      </w:r>
      <w:r>
        <w:rPr>
          <w:rFonts w:ascii="Titillium" w:hAnsi="Titillium"/>
          <w:szCs w:val="22"/>
        </w:rPr>
        <w:t>ho I profilu, kter</w:t>
      </w:r>
      <w:r>
        <w:rPr>
          <w:rFonts w:ascii="Titillium" w:hAnsi="Titillium" w:cs="Titillium"/>
          <w:szCs w:val="22"/>
        </w:rPr>
        <w:t>ý</w:t>
      </w:r>
      <w:r>
        <w:rPr>
          <w:rFonts w:ascii="Titillium" w:hAnsi="Titillium"/>
          <w:szCs w:val="22"/>
        </w:rPr>
        <w:t xml:space="preserve"> m</w:t>
      </w:r>
      <w:r>
        <w:rPr>
          <w:rFonts w:ascii="Titillium" w:hAnsi="Titillium" w:cs="Titillium"/>
          <w:szCs w:val="22"/>
        </w:rPr>
        <w:t>ě</w:t>
      </w:r>
      <w:r>
        <w:rPr>
          <w:rFonts w:ascii="Titillium" w:hAnsi="Titillium"/>
          <w:szCs w:val="22"/>
        </w:rPr>
        <w:t>l p</w:t>
      </w:r>
      <w:r>
        <w:rPr>
          <w:rFonts w:ascii="Titillium" w:hAnsi="Titillium" w:cs="Titillium"/>
          <w:szCs w:val="22"/>
        </w:rPr>
        <w:t>ů</w:t>
      </w:r>
      <w:r>
        <w:rPr>
          <w:rFonts w:ascii="Titillium" w:hAnsi="Titillium"/>
          <w:szCs w:val="22"/>
        </w:rPr>
        <w:t>vodn</w:t>
      </w:r>
      <w:r>
        <w:rPr>
          <w:rFonts w:ascii="Titillium" w:hAnsi="Titillium" w:cs="Titillium"/>
          <w:szCs w:val="22"/>
        </w:rPr>
        <w:t>ě</w:t>
      </w:r>
      <w:r>
        <w:rPr>
          <w:rFonts w:ascii="Titillium" w:hAnsi="Titillium"/>
          <w:szCs w:val="22"/>
        </w:rPr>
        <w:t xml:space="preserve"> slou</w:t>
      </w:r>
      <w:r>
        <w:rPr>
          <w:rFonts w:ascii="Titillium" w:hAnsi="Titillium" w:cs="Titillium"/>
          <w:szCs w:val="22"/>
        </w:rPr>
        <w:t>ž</w:t>
      </w:r>
      <w:r>
        <w:rPr>
          <w:rFonts w:ascii="Titillium" w:hAnsi="Titillium"/>
          <w:szCs w:val="22"/>
        </w:rPr>
        <w:t>it jako dr</w:t>
      </w:r>
      <w:r>
        <w:rPr>
          <w:rFonts w:ascii="Titillium" w:hAnsi="Titillium" w:cs="Titillium"/>
          <w:szCs w:val="22"/>
        </w:rPr>
        <w:t>á</w:t>
      </w:r>
      <w:r>
        <w:rPr>
          <w:rFonts w:ascii="Titillium" w:hAnsi="Titillium"/>
          <w:szCs w:val="22"/>
        </w:rPr>
        <w:t>ha posuvn</w:t>
      </w:r>
      <w:r>
        <w:rPr>
          <w:rFonts w:ascii="Titillium" w:hAnsi="Titillium" w:cs="Titillium"/>
          <w:szCs w:val="22"/>
        </w:rPr>
        <w:t>é</w:t>
      </w:r>
      <w:r>
        <w:rPr>
          <w:rFonts w:ascii="Titillium" w:hAnsi="Titillium"/>
          <w:szCs w:val="22"/>
        </w:rPr>
        <w:t>ho mostu, ten v</w:t>
      </w:r>
      <w:r>
        <w:rPr>
          <w:rFonts w:ascii="Titillium" w:hAnsi="Titillium" w:cs="Titillium"/>
          <w:szCs w:val="22"/>
        </w:rPr>
        <w:t>š</w:t>
      </w:r>
      <w:r>
        <w:rPr>
          <w:rFonts w:ascii="Titillium" w:hAnsi="Titillium"/>
          <w:szCs w:val="22"/>
        </w:rPr>
        <w:t>ak nebyl realizov</w:t>
      </w:r>
      <w:r>
        <w:rPr>
          <w:rFonts w:ascii="Titillium" w:hAnsi="Titillium" w:cs="Titillium"/>
          <w:szCs w:val="22"/>
        </w:rPr>
        <w:t>á</w:t>
      </w:r>
      <w:r>
        <w:rPr>
          <w:rFonts w:ascii="Titillium" w:hAnsi="Titillium"/>
          <w:szCs w:val="22"/>
        </w:rPr>
        <w:t>n. Konec lana bude vhodným způsobem připevněn (přivařen) druhém konci stávajícího I nosníku, (naproti převáděcí kladky). Délka tohoto I profilu je přibližně 11</w:t>
      </w:r>
      <w:r w:rsidR="00CC07C6">
        <w:rPr>
          <w:rFonts w:ascii="Titillium" w:hAnsi="Titillium"/>
          <w:szCs w:val="22"/>
        </w:rPr>
        <w:t xml:space="preserve"> </w:t>
      </w:r>
      <w:r>
        <w:rPr>
          <w:rFonts w:ascii="Titillium" w:hAnsi="Titillium"/>
          <w:szCs w:val="22"/>
        </w:rPr>
        <w:t>m a bude sloužit jako dráha pro pojezdový vozík kladnice bodového tahu. Na každém bočním jevišti jsou tyto I profily dva. Na každý I profil je uvažováno se dvěma bodovými tahy, se dvěma pojízdnými kladnicemi. Celkem tak bude na každém bočním jevišti doplněno čtyři kusy bodový tahu, celkem na divadle pak 8ks. Každý vozík kladnice je tvořen nosnou konstrukcí, která po stávajícím I profilu velikosti 260 pojíždí po čtyřech pojezdových kolech s</w:t>
      </w:r>
      <w:r>
        <w:rPr>
          <w:rFonts w:ascii="Calibri" w:hAnsi="Calibri" w:cs="Calibri"/>
          <w:szCs w:val="22"/>
        </w:rPr>
        <w:t> </w:t>
      </w:r>
      <w:r>
        <w:rPr>
          <w:rFonts w:ascii="Titillium" w:hAnsi="Titillium"/>
          <w:szCs w:val="22"/>
        </w:rPr>
        <w:t>p</w:t>
      </w:r>
      <w:r>
        <w:rPr>
          <w:rFonts w:ascii="Titillium" w:hAnsi="Titillium" w:cs="Titillium"/>
          <w:szCs w:val="22"/>
        </w:rPr>
        <w:t>ří</w:t>
      </w:r>
      <w:r>
        <w:rPr>
          <w:rFonts w:ascii="Titillium" w:hAnsi="Titillium"/>
          <w:szCs w:val="22"/>
        </w:rPr>
        <w:t>rubami. Voz</w:t>
      </w:r>
      <w:r>
        <w:rPr>
          <w:rFonts w:ascii="Titillium" w:hAnsi="Titillium" w:cs="Titillium"/>
          <w:szCs w:val="22"/>
        </w:rPr>
        <w:t>í</w:t>
      </w:r>
      <w:r>
        <w:rPr>
          <w:rFonts w:ascii="Titillium" w:hAnsi="Titillium"/>
          <w:szCs w:val="22"/>
        </w:rPr>
        <w:t>k je vybaven kladkami pro svod lana sm</w:t>
      </w:r>
      <w:r>
        <w:rPr>
          <w:rFonts w:ascii="Titillium" w:hAnsi="Titillium" w:cs="Titillium"/>
          <w:szCs w:val="22"/>
        </w:rPr>
        <w:t>ě</w:t>
      </w:r>
      <w:r>
        <w:rPr>
          <w:rFonts w:ascii="Titillium" w:hAnsi="Titillium"/>
          <w:szCs w:val="22"/>
        </w:rPr>
        <w:t>rem dol</w:t>
      </w:r>
      <w:r>
        <w:rPr>
          <w:rFonts w:ascii="Titillium" w:hAnsi="Titillium" w:cs="Titillium"/>
          <w:szCs w:val="22"/>
        </w:rPr>
        <w:t>ů</w:t>
      </w:r>
      <w:r>
        <w:rPr>
          <w:rFonts w:ascii="Titillium" w:hAnsi="Titillium"/>
          <w:szCs w:val="22"/>
        </w:rPr>
        <w:t xml:space="preserve"> ke kladnic a d</w:t>
      </w:r>
      <w:r>
        <w:rPr>
          <w:rFonts w:ascii="Titillium" w:hAnsi="Titillium" w:cs="Titillium"/>
          <w:szCs w:val="22"/>
        </w:rPr>
        <w:t>á</w:t>
      </w:r>
      <w:r>
        <w:rPr>
          <w:rFonts w:ascii="Titillium" w:hAnsi="Titillium"/>
          <w:szCs w:val="22"/>
        </w:rPr>
        <w:t>le podp</w:t>
      </w:r>
      <w:r>
        <w:rPr>
          <w:rFonts w:ascii="Titillium" w:hAnsi="Titillium" w:cs="Titillium"/>
          <w:szCs w:val="22"/>
        </w:rPr>
        <w:t>ů</w:t>
      </w:r>
      <w:r>
        <w:rPr>
          <w:rFonts w:ascii="Titillium" w:hAnsi="Titillium"/>
          <w:szCs w:val="22"/>
        </w:rPr>
        <w:t>rn</w:t>
      </w:r>
      <w:r>
        <w:rPr>
          <w:rFonts w:ascii="Titillium" w:hAnsi="Titillium" w:cs="Titillium"/>
          <w:szCs w:val="22"/>
        </w:rPr>
        <w:t>ý</w:t>
      </w:r>
      <w:r>
        <w:rPr>
          <w:rFonts w:ascii="Titillium" w:hAnsi="Titillium"/>
          <w:szCs w:val="22"/>
        </w:rPr>
        <w:t>mi kladkami lana od druh</w:t>
      </w:r>
      <w:r>
        <w:rPr>
          <w:rFonts w:ascii="Titillium" w:hAnsi="Titillium" w:cs="Titillium"/>
          <w:szCs w:val="22"/>
        </w:rPr>
        <w:t>é</w:t>
      </w:r>
      <w:r>
        <w:rPr>
          <w:rFonts w:ascii="Titillium" w:hAnsi="Titillium"/>
          <w:szCs w:val="22"/>
        </w:rPr>
        <w:t>ho bodov</w:t>
      </w:r>
      <w:r>
        <w:rPr>
          <w:rFonts w:ascii="Titillium" w:hAnsi="Titillium" w:cs="Titillium"/>
          <w:szCs w:val="22"/>
        </w:rPr>
        <w:t>é</w:t>
      </w:r>
      <w:r>
        <w:rPr>
          <w:rFonts w:ascii="Titillium" w:hAnsi="Titillium"/>
          <w:szCs w:val="22"/>
        </w:rPr>
        <w:t>ho tahu um</w:t>
      </w:r>
      <w:r>
        <w:rPr>
          <w:rFonts w:ascii="Titillium" w:hAnsi="Titillium" w:cs="Titillium"/>
          <w:szCs w:val="22"/>
        </w:rPr>
        <w:t>í</w:t>
      </w:r>
      <w:r>
        <w:rPr>
          <w:rFonts w:ascii="Titillium" w:hAnsi="Titillium"/>
          <w:szCs w:val="22"/>
        </w:rPr>
        <w:t>st</w:t>
      </w:r>
      <w:r>
        <w:rPr>
          <w:rFonts w:ascii="Titillium" w:hAnsi="Titillium" w:cs="Titillium"/>
          <w:szCs w:val="22"/>
        </w:rPr>
        <w:t>ě</w:t>
      </w:r>
      <w:r>
        <w:rPr>
          <w:rFonts w:ascii="Titillium" w:hAnsi="Titillium"/>
          <w:szCs w:val="22"/>
        </w:rPr>
        <w:t>n</w:t>
      </w:r>
      <w:r>
        <w:rPr>
          <w:rFonts w:ascii="Titillium" w:hAnsi="Titillium" w:cs="Titillium"/>
          <w:szCs w:val="22"/>
        </w:rPr>
        <w:t>é</w:t>
      </w:r>
      <w:r>
        <w:rPr>
          <w:rFonts w:ascii="Titillium" w:hAnsi="Titillium"/>
          <w:szCs w:val="22"/>
        </w:rPr>
        <w:t>ho na dr</w:t>
      </w:r>
      <w:r>
        <w:rPr>
          <w:rFonts w:ascii="Titillium" w:hAnsi="Titillium" w:cs="Titillium"/>
          <w:szCs w:val="22"/>
        </w:rPr>
        <w:t>á</w:t>
      </w:r>
      <w:r>
        <w:rPr>
          <w:rFonts w:ascii="Titillium" w:hAnsi="Titillium"/>
          <w:szCs w:val="22"/>
        </w:rPr>
        <w:t>ze. Pro spr</w:t>
      </w:r>
      <w:r>
        <w:rPr>
          <w:rFonts w:ascii="Titillium" w:hAnsi="Titillium" w:cs="Titillium"/>
          <w:szCs w:val="22"/>
        </w:rPr>
        <w:t>á</w:t>
      </w:r>
      <w:r>
        <w:rPr>
          <w:rFonts w:ascii="Titillium" w:hAnsi="Titillium"/>
          <w:szCs w:val="22"/>
        </w:rPr>
        <w:t>vnou funkci mus</w:t>
      </w:r>
      <w:r>
        <w:rPr>
          <w:rFonts w:ascii="Titillium" w:hAnsi="Titillium" w:cs="Titillium"/>
          <w:szCs w:val="22"/>
        </w:rPr>
        <w:t>í</w:t>
      </w:r>
      <w:r>
        <w:rPr>
          <w:rFonts w:ascii="Titillium" w:hAnsi="Titillium"/>
          <w:szCs w:val="22"/>
        </w:rPr>
        <w:t xml:space="preserve"> b</w:t>
      </w:r>
      <w:r>
        <w:rPr>
          <w:rFonts w:ascii="Titillium" w:hAnsi="Titillium" w:cs="Titillium"/>
          <w:szCs w:val="22"/>
        </w:rPr>
        <w:t>ý</w:t>
      </w:r>
      <w:r>
        <w:rPr>
          <w:rFonts w:ascii="Titillium" w:hAnsi="Titillium"/>
          <w:szCs w:val="22"/>
        </w:rPr>
        <w:t>t vlastn</w:t>
      </w:r>
      <w:r>
        <w:rPr>
          <w:rFonts w:ascii="Titillium" w:hAnsi="Titillium" w:cs="Titillium"/>
          <w:szCs w:val="22"/>
        </w:rPr>
        <w:t>í</w:t>
      </w:r>
      <w:r>
        <w:rPr>
          <w:rFonts w:ascii="Titillium" w:hAnsi="Titillium"/>
          <w:szCs w:val="22"/>
        </w:rPr>
        <w:t xml:space="preserve"> kladnice dostate</w:t>
      </w:r>
      <w:r>
        <w:rPr>
          <w:rFonts w:ascii="Titillium" w:hAnsi="Titillium" w:cs="Titillium"/>
          <w:szCs w:val="22"/>
        </w:rPr>
        <w:t>č</w:t>
      </w:r>
      <w:r>
        <w:rPr>
          <w:rFonts w:ascii="Titillium" w:hAnsi="Titillium"/>
          <w:szCs w:val="22"/>
        </w:rPr>
        <w:t>n</w:t>
      </w:r>
      <w:r>
        <w:rPr>
          <w:rFonts w:ascii="Titillium" w:hAnsi="Titillium" w:cs="Titillium"/>
          <w:szCs w:val="22"/>
        </w:rPr>
        <w:t>ě</w:t>
      </w:r>
      <w:r>
        <w:rPr>
          <w:rFonts w:ascii="Titillium" w:hAnsi="Titillium"/>
          <w:szCs w:val="22"/>
        </w:rPr>
        <w:t xml:space="preserve"> t</w:t>
      </w:r>
      <w:r>
        <w:rPr>
          <w:rFonts w:ascii="Titillium" w:hAnsi="Titillium" w:cs="Titillium"/>
          <w:szCs w:val="22"/>
        </w:rPr>
        <w:t>ěž</w:t>
      </w:r>
      <w:r>
        <w:rPr>
          <w:rFonts w:ascii="Titillium" w:hAnsi="Titillium"/>
          <w:szCs w:val="22"/>
        </w:rPr>
        <w:t>k</w:t>
      </w:r>
      <w:r>
        <w:rPr>
          <w:rFonts w:ascii="Titillium" w:hAnsi="Titillium" w:cs="Titillium"/>
          <w:szCs w:val="22"/>
        </w:rPr>
        <w:t>á</w:t>
      </w:r>
      <w:r>
        <w:rPr>
          <w:rFonts w:ascii="Titillium" w:hAnsi="Titillium"/>
          <w:szCs w:val="22"/>
        </w:rPr>
        <w:t>, kladnice je na lan</w:t>
      </w:r>
      <w:r>
        <w:rPr>
          <w:rFonts w:ascii="Titillium" w:hAnsi="Titillium" w:cs="Titillium"/>
          <w:szCs w:val="22"/>
        </w:rPr>
        <w:t>ě</w:t>
      </w:r>
      <w:r>
        <w:rPr>
          <w:rFonts w:ascii="Titillium" w:hAnsi="Titillium"/>
          <w:szCs w:val="22"/>
        </w:rPr>
        <w:t xml:space="preserve"> zav</w:t>
      </w:r>
      <w:r>
        <w:rPr>
          <w:rFonts w:ascii="Titillium" w:hAnsi="Titillium" w:cs="Titillium"/>
          <w:szCs w:val="22"/>
        </w:rPr>
        <w:t>ěš</w:t>
      </w:r>
      <w:r>
        <w:rPr>
          <w:rFonts w:ascii="Titillium" w:hAnsi="Titillium"/>
          <w:szCs w:val="22"/>
        </w:rPr>
        <w:t>ena p</w:t>
      </w:r>
      <w:r>
        <w:rPr>
          <w:rFonts w:ascii="Titillium" w:hAnsi="Titillium" w:cs="Titillium"/>
          <w:szCs w:val="22"/>
        </w:rPr>
        <w:t>ů</w:t>
      </w:r>
      <w:r>
        <w:rPr>
          <w:rFonts w:ascii="Titillium" w:hAnsi="Titillium"/>
          <w:szCs w:val="22"/>
        </w:rPr>
        <w:t>lov</w:t>
      </w:r>
      <w:r>
        <w:rPr>
          <w:rFonts w:ascii="Titillium" w:hAnsi="Titillium" w:cs="Titillium"/>
          <w:szCs w:val="22"/>
        </w:rPr>
        <w:t>ě</w:t>
      </w:r>
      <w:r>
        <w:rPr>
          <w:rFonts w:ascii="Titillium" w:hAnsi="Titillium"/>
          <w:szCs w:val="22"/>
        </w:rPr>
        <w:t xml:space="preserve"> a obsahu je tak jednu </w:t>
      </w:r>
      <w:proofErr w:type="spellStart"/>
      <w:r>
        <w:rPr>
          <w:rFonts w:ascii="Titillium" w:hAnsi="Titillium"/>
          <w:szCs w:val="22"/>
        </w:rPr>
        <w:lastRenderedPageBreak/>
        <w:t>jedno</w:t>
      </w:r>
      <w:r>
        <w:rPr>
          <w:rFonts w:ascii="Titillium" w:hAnsi="Titillium" w:cs="Titillium"/>
          <w:szCs w:val="22"/>
        </w:rPr>
        <w:t>ž</w:t>
      </w:r>
      <w:r>
        <w:rPr>
          <w:rFonts w:ascii="Titillium" w:hAnsi="Titillium"/>
          <w:szCs w:val="22"/>
        </w:rPr>
        <w:t>labkovou</w:t>
      </w:r>
      <w:proofErr w:type="spellEnd"/>
      <w:r>
        <w:rPr>
          <w:rFonts w:ascii="Titillium" w:hAnsi="Titillium"/>
          <w:szCs w:val="22"/>
        </w:rPr>
        <w:t xml:space="preserve"> kladku. Pro zav</w:t>
      </w:r>
      <w:r>
        <w:rPr>
          <w:rFonts w:ascii="Titillium" w:hAnsi="Titillium" w:cs="Titillium"/>
          <w:szCs w:val="22"/>
        </w:rPr>
        <w:t>ěš</w:t>
      </w:r>
      <w:r>
        <w:rPr>
          <w:rFonts w:ascii="Titillium" w:hAnsi="Titillium"/>
          <w:szCs w:val="22"/>
        </w:rPr>
        <w:t>en</w:t>
      </w:r>
      <w:r>
        <w:rPr>
          <w:rFonts w:ascii="Titillium" w:hAnsi="Titillium" w:cs="Titillium"/>
          <w:szCs w:val="22"/>
        </w:rPr>
        <w:t>í</w:t>
      </w:r>
      <w:r>
        <w:rPr>
          <w:rFonts w:ascii="Titillium" w:hAnsi="Titillium"/>
          <w:szCs w:val="22"/>
        </w:rPr>
        <w:t xml:space="preserve"> b</w:t>
      </w:r>
      <w:r>
        <w:rPr>
          <w:rFonts w:ascii="Titillium" w:hAnsi="Titillium" w:cs="Titillium"/>
          <w:szCs w:val="22"/>
        </w:rPr>
        <w:t>ř</w:t>
      </w:r>
      <w:r>
        <w:rPr>
          <w:rFonts w:ascii="Titillium" w:hAnsi="Titillium"/>
          <w:szCs w:val="22"/>
        </w:rPr>
        <w:t>emene je kladnice ukon</w:t>
      </w:r>
      <w:r>
        <w:rPr>
          <w:rFonts w:ascii="Titillium" w:hAnsi="Titillium" w:cs="Titillium"/>
          <w:szCs w:val="22"/>
        </w:rPr>
        <w:t>č</w:t>
      </w:r>
      <w:r>
        <w:rPr>
          <w:rFonts w:ascii="Titillium" w:hAnsi="Titillium"/>
          <w:szCs w:val="22"/>
        </w:rPr>
        <w:t>ena oto</w:t>
      </w:r>
      <w:r>
        <w:rPr>
          <w:rFonts w:ascii="Titillium" w:hAnsi="Titillium" w:cs="Titillium"/>
          <w:szCs w:val="22"/>
        </w:rPr>
        <w:t>č</w:t>
      </w:r>
      <w:r>
        <w:rPr>
          <w:rFonts w:ascii="Titillium" w:hAnsi="Titillium"/>
          <w:szCs w:val="22"/>
        </w:rPr>
        <w:t>n</w:t>
      </w:r>
      <w:r>
        <w:rPr>
          <w:rFonts w:ascii="Titillium" w:hAnsi="Titillium" w:cs="Titillium"/>
          <w:szCs w:val="22"/>
        </w:rPr>
        <w:t>ý</w:t>
      </w:r>
      <w:r>
        <w:rPr>
          <w:rFonts w:ascii="Titillium" w:hAnsi="Titillium"/>
          <w:szCs w:val="22"/>
        </w:rPr>
        <w:t>m okem s</w:t>
      </w:r>
      <w:r>
        <w:rPr>
          <w:rFonts w:ascii="Calibri" w:hAnsi="Calibri" w:cs="Calibri"/>
          <w:szCs w:val="22"/>
        </w:rPr>
        <w:t> </w:t>
      </w:r>
      <w:r>
        <w:rPr>
          <w:rFonts w:ascii="Titillium" w:hAnsi="Titillium"/>
          <w:szCs w:val="22"/>
        </w:rPr>
        <w:t>karabinou. Přesun kladnice do požadovaní pozice, v</w:t>
      </w:r>
      <w:r>
        <w:rPr>
          <w:rFonts w:ascii="Calibri" w:hAnsi="Calibri" w:cs="Calibri"/>
          <w:szCs w:val="22"/>
        </w:rPr>
        <w:t> </w:t>
      </w:r>
      <w:r>
        <w:rPr>
          <w:rFonts w:ascii="Titillium" w:hAnsi="Titillium"/>
          <w:szCs w:val="22"/>
        </w:rPr>
        <w:t>r</w:t>
      </w:r>
      <w:r>
        <w:rPr>
          <w:rFonts w:ascii="Titillium" w:hAnsi="Titillium" w:cs="Titillium"/>
          <w:szCs w:val="22"/>
        </w:rPr>
        <w:t>á</w:t>
      </w:r>
      <w:r>
        <w:rPr>
          <w:rFonts w:ascii="Titillium" w:hAnsi="Titillium"/>
          <w:szCs w:val="22"/>
        </w:rPr>
        <w:t>mci d</w:t>
      </w:r>
      <w:r>
        <w:rPr>
          <w:rFonts w:ascii="Titillium" w:hAnsi="Titillium" w:cs="Titillium"/>
          <w:szCs w:val="22"/>
        </w:rPr>
        <w:t>é</w:t>
      </w:r>
      <w:r>
        <w:rPr>
          <w:rFonts w:ascii="Titillium" w:hAnsi="Titillium"/>
          <w:szCs w:val="22"/>
        </w:rPr>
        <w:t>lky pojezdov</w:t>
      </w:r>
      <w:r>
        <w:rPr>
          <w:rFonts w:ascii="Titillium" w:hAnsi="Titillium" w:cs="Titillium"/>
          <w:szCs w:val="22"/>
        </w:rPr>
        <w:t>é</w:t>
      </w:r>
      <w:r>
        <w:rPr>
          <w:rFonts w:ascii="Titillium" w:hAnsi="Titillium"/>
          <w:szCs w:val="22"/>
        </w:rPr>
        <w:t>ho I profilu, se prov</w:t>
      </w:r>
      <w:r>
        <w:rPr>
          <w:rFonts w:ascii="Titillium" w:hAnsi="Titillium" w:cs="Titillium"/>
          <w:szCs w:val="22"/>
        </w:rPr>
        <w:t>á</w:t>
      </w:r>
      <w:r>
        <w:rPr>
          <w:rFonts w:ascii="Titillium" w:hAnsi="Titillium"/>
          <w:szCs w:val="22"/>
        </w:rPr>
        <w:t>d</w:t>
      </w:r>
      <w:r>
        <w:rPr>
          <w:rFonts w:ascii="Titillium" w:hAnsi="Titillium" w:cs="Titillium"/>
          <w:szCs w:val="22"/>
        </w:rPr>
        <w:t>í</w:t>
      </w:r>
      <w:r>
        <w:rPr>
          <w:rFonts w:ascii="Titillium" w:hAnsi="Titillium"/>
          <w:szCs w:val="22"/>
        </w:rPr>
        <w:t xml:space="preserve"> ru</w:t>
      </w:r>
      <w:r>
        <w:rPr>
          <w:rFonts w:ascii="Titillium" w:hAnsi="Titillium" w:cs="Titillium"/>
          <w:szCs w:val="22"/>
        </w:rPr>
        <w:t>č</w:t>
      </w:r>
      <w:r>
        <w:rPr>
          <w:rFonts w:ascii="Titillium" w:hAnsi="Titillium"/>
          <w:szCs w:val="22"/>
        </w:rPr>
        <w:t>n</w:t>
      </w:r>
      <w:r>
        <w:rPr>
          <w:rFonts w:ascii="Titillium" w:hAnsi="Titillium" w:cs="Titillium"/>
          <w:szCs w:val="22"/>
        </w:rPr>
        <w:t>ě</w:t>
      </w:r>
      <w:r>
        <w:rPr>
          <w:rFonts w:ascii="Titillium" w:hAnsi="Titillium"/>
          <w:szCs w:val="22"/>
        </w:rPr>
        <w:t>, tahem za kladnici v</w:t>
      </w:r>
      <w:r>
        <w:rPr>
          <w:rFonts w:ascii="Calibri" w:hAnsi="Calibri" w:cs="Calibri"/>
          <w:szCs w:val="22"/>
        </w:rPr>
        <w:t> </w:t>
      </w:r>
      <w:r>
        <w:rPr>
          <w:rFonts w:ascii="Titillium" w:hAnsi="Titillium"/>
          <w:szCs w:val="22"/>
        </w:rPr>
        <w:t>po</w:t>
      </w:r>
      <w:r>
        <w:rPr>
          <w:rFonts w:ascii="Titillium" w:hAnsi="Titillium" w:cs="Titillium"/>
          <w:szCs w:val="22"/>
        </w:rPr>
        <w:t>ž</w:t>
      </w:r>
      <w:r>
        <w:rPr>
          <w:rFonts w:ascii="Titillium" w:hAnsi="Titillium"/>
          <w:szCs w:val="22"/>
        </w:rPr>
        <w:t>adovan</w:t>
      </w:r>
      <w:r>
        <w:rPr>
          <w:rFonts w:ascii="Titillium" w:hAnsi="Titillium" w:cs="Titillium"/>
          <w:szCs w:val="22"/>
        </w:rPr>
        <w:t>é</w:t>
      </w:r>
      <w:r>
        <w:rPr>
          <w:rFonts w:ascii="Titillium" w:hAnsi="Titillium"/>
          <w:szCs w:val="22"/>
        </w:rPr>
        <w:t>m sm</w:t>
      </w:r>
      <w:r>
        <w:rPr>
          <w:rFonts w:ascii="Titillium" w:hAnsi="Titillium" w:cs="Titillium"/>
          <w:szCs w:val="22"/>
        </w:rPr>
        <w:t>ě</w:t>
      </w:r>
      <w:r>
        <w:rPr>
          <w:rFonts w:ascii="Titillium" w:hAnsi="Titillium"/>
          <w:szCs w:val="22"/>
        </w:rPr>
        <w:t>ru p</w:t>
      </w:r>
      <w:r>
        <w:rPr>
          <w:rFonts w:ascii="Titillium" w:hAnsi="Titillium" w:cs="Titillium"/>
          <w:szCs w:val="22"/>
        </w:rPr>
        <w:t>ř</w:t>
      </w:r>
      <w:r>
        <w:rPr>
          <w:rFonts w:ascii="Titillium" w:hAnsi="Titillium"/>
          <w:szCs w:val="22"/>
        </w:rPr>
        <w:t>esunu v</w:t>
      </w:r>
      <w:r>
        <w:rPr>
          <w:rFonts w:ascii="Calibri" w:hAnsi="Calibri" w:cs="Calibri"/>
          <w:szCs w:val="22"/>
        </w:rPr>
        <w:t> </w:t>
      </w:r>
      <w:r>
        <w:rPr>
          <w:rFonts w:ascii="Titillium" w:hAnsi="Titillium"/>
          <w:szCs w:val="22"/>
        </w:rPr>
        <w:t>jej</w:t>
      </w:r>
      <w:r>
        <w:rPr>
          <w:rFonts w:ascii="Titillium" w:hAnsi="Titillium" w:cs="Titillium"/>
          <w:szCs w:val="22"/>
        </w:rPr>
        <w:t>í</w:t>
      </w:r>
      <w:r>
        <w:rPr>
          <w:rFonts w:ascii="Titillium" w:hAnsi="Titillium"/>
          <w:szCs w:val="22"/>
        </w:rPr>
        <w:t xml:space="preserve"> spodn</w:t>
      </w:r>
      <w:r>
        <w:rPr>
          <w:rFonts w:ascii="Titillium" w:hAnsi="Titillium" w:cs="Titillium"/>
          <w:szCs w:val="22"/>
        </w:rPr>
        <w:t>í</w:t>
      </w:r>
      <w:r>
        <w:rPr>
          <w:rFonts w:ascii="Titillium" w:hAnsi="Titillium"/>
          <w:szCs w:val="22"/>
        </w:rPr>
        <w:t xml:space="preserve"> poloze z</w:t>
      </w:r>
      <w:r>
        <w:rPr>
          <w:rFonts w:ascii="Calibri" w:hAnsi="Calibri" w:cs="Calibri"/>
          <w:szCs w:val="22"/>
        </w:rPr>
        <w:t> </w:t>
      </w:r>
      <w:r>
        <w:rPr>
          <w:rFonts w:ascii="Titillium" w:hAnsi="Titillium"/>
          <w:szCs w:val="22"/>
        </w:rPr>
        <w:t>podlahy jevi</w:t>
      </w:r>
      <w:r>
        <w:rPr>
          <w:rFonts w:ascii="Titillium" w:hAnsi="Titillium" w:cs="Titillium"/>
          <w:szCs w:val="22"/>
        </w:rPr>
        <w:t>š</w:t>
      </w:r>
      <w:r>
        <w:rPr>
          <w:rFonts w:ascii="Titillium" w:hAnsi="Titillium"/>
          <w:szCs w:val="22"/>
        </w:rPr>
        <w:t>t</w:t>
      </w:r>
      <w:r>
        <w:rPr>
          <w:rFonts w:ascii="Titillium" w:hAnsi="Titillium" w:cs="Titillium"/>
          <w:szCs w:val="22"/>
        </w:rPr>
        <w:t>ě</w:t>
      </w:r>
      <w:r>
        <w:rPr>
          <w:rFonts w:ascii="Titillium" w:hAnsi="Titillium"/>
          <w:szCs w:val="22"/>
        </w:rPr>
        <w:t>.</w:t>
      </w:r>
    </w:p>
    <w:p w14:paraId="6930E748" w14:textId="77777777" w:rsidR="001721D1" w:rsidRDefault="001721D1" w:rsidP="001721D1">
      <w:pPr>
        <w:ind w:firstLine="0"/>
        <w:rPr>
          <w:rFonts w:ascii="Titillium" w:hAnsi="Titillium"/>
          <w:szCs w:val="22"/>
        </w:rPr>
      </w:pPr>
    </w:p>
    <w:p w14:paraId="1425B211" w14:textId="77777777" w:rsidR="001721D1" w:rsidRDefault="001721D1" w:rsidP="00C77C17">
      <w:pPr>
        <w:ind w:firstLine="0"/>
        <w:jc w:val="center"/>
        <w:rPr>
          <w:rFonts w:ascii="Titillium" w:hAnsi="Titillium"/>
          <w:szCs w:val="22"/>
        </w:rPr>
      </w:pPr>
      <w:r>
        <w:rPr>
          <w:noProof/>
        </w:rPr>
        <w:drawing>
          <wp:inline distT="0" distB="0" distL="0" distR="0" wp14:anchorId="052CE1CA" wp14:editId="1F2544C3">
            <wp:extent cx="5572125" cy="4801463"/>
            <wp:effectExtent l="0" t="0" r="0" b="0"/>
            <wp:docPr id="914863371" name="Obrázek 1" descr="Obsah obrázku text, řada/pruh, diagram,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63371" name="Obrázek 1" descr="Obsah obrázku text, řada/pruh, diagram, snímek obrazovky&#10;&#10;Obsah generovaný pomocí AI může být nesprávný."/>
                    <pic:cNvPicPr/>
                  </pic:nvPicPr>
                  <pic:blipFill>
                    <a:blip r:embed="rId9"/>
                    <a:stretch>
                      <a:fillRect/>
                    </a:stretch>
                  </pic:blipFill>
                  <pic:spPr>
                    <a:xfrm>
                      <a:off x="0" y="0"/>
                      <a:ext cx="5595622" cy="4821710"/>
                    </a:xfrm>
                    <a:prstGeom prst="rect">
                      <a:avLst/>
                    </a:prstGeom>
                  </pic:spPr>
                </pic:pic>
              </a:graphicData>
            </a:graphic>
          </wp:inline>
        </w:drawing>
      </w:r>
    </w:p>
    <w:p w14:paraId="6091697B" w14:textId="77777777" w:rsidR="001721D1" w:rsidRDefault="001721D1" w:rsidP="00E77B16">
      <w:pPr>
        <w:ind w:firstLine="0"/>
        <w:rPr>
          <w:rFonts w:ascii="Titillium" w:hAnsi="Titillium"/>
          <w:szCs w:val="22"/>
        </w:rPr>
      </w:pPr>
    </w:p>
    <w:p w14:paraId="232B4250" w14:textId="77777777" w:rsidR="001721D1" w:rsidRDefault="001721D1" w:rsidP="00E77B16">
      <w:pPr>
        <w:ind w:firstLine="0"/>
        <w:rPr>
          <w:rFonts w:ascii="Titillium" w:hAnsi="Titillium"/>
          <w:szCs w:val="22"/>
        </w:rPr>
      </w:pPr>
    </w:p>
    <w:p w14:paraId="5E271BB2" w14:textId="77777777" w:rsidR="001721D1" w:rsidRDefault="001721D1" w:rsidP="00E77B16">
      <w:pPr>
        <w:ind w:firstLine="0"/>
        <w:rPr>
          <w:rFonts w:ascii="Titillium" w:hAnsi="Titillium"/>
          <w:szCs w:val="22"/>
        </w:rPr>
      </w:pPr>
    </w:p>
    <w:p w14:paraId="7AD5E6BF" w14:textId="77777777" w:rsidR="008941B2" w:rsidRPr="008941B2" w:rsidRDefault="008941B2" w:rsidP="00873FFD">
      <w:pPr>
        <w:pStyle w:val="GGNadpis2"/>
        <w:numPr>
          <w:ilvl w:val="1"/>
          <w:numId w:val="19"/>
        </w:numPr>
        <w:ind w:left="567" w:hanging="556"/>
        <w:rPr>
          <w:rFonts w:ascii="Titillium" w:hAnsi="Titillium"/>
          <w:szCs w:val="22"/>
        </w:rPr>
      </w:pPr>
      <w:bookmarkStart w:id="6" w:name="_Toc62036102"/>
      <w:r w:rsidRPr="008941B2">
        <w:rPr>
          <w:rFonts w:ascii="Titillium" w:hAnsi="Titillium"/>
          <w:szCs w:val="22"/>
        </w:rPr>
        <w:t>Doplnění systému řízení tahů</w:t>
      </w:r>
      <w:bookmarkEnd w:id="6"/>
    </w:p>
    <w:p w14:paraId="7B02244B" w14:textId="09F030D8" w:rsidR="008941B2" w:rsidRPr="008941B2" w:rsidRDefault="008941B2" w:rsidP="008941B2">
      <w:pPr>
        <w:ind w:firstLine="0"/>
        <w:rPr>
          <w:rFonts w:ascii="Titillium" w:hAnsi="Titillium"/>
          <w:szCs w:val="22"/>
        </w:rPr>
      </w:pPr>
      <w:r w:rsidRPr="008941B2">
        <w:rPr>
          <w:rFonts w:ascii="Titillium" w:hAnsi="Titillium"/>
          <w:szCs w:val="22"/>
        </w:rPr>
        <w:t xml:space="preserve">Představuje </w:t>
      </w:r>
      <w:r>
        <w:rPr>
          <w:rFonts w:ascii="Titillium" w:hAnsi="Titillium"/>
          <w:szCs w:val="22"/>
        </w:rPr>
        <w:t>doplnění 4 ks bodových tahů na každém bočním jevišti, tedy celkem 8 ks</w:t>
      </w:r>
      <w:r w:rsidRPr="008941B2">
        <w:rPr>
          <w:rFonts w:ascii="Titillium" w:hAnsi="Titillium"/>
          <w:szCs w:val="22"/>
        </w:rPr>
        <w:t>. To zahrnuje dod</w:t>
      </w:r>
      <w:r w:rsidRPr="008941B2">
        <w:rPr>
          <w:rFonts w:ascii="Titillium" w:hAnsi="Titillium" w:cs="Titillium"/>
          <w:szCs w:val="22"/>
        </w:rPr>
        <w:t>á</w:t>
      </w:r>
      <w:r w:rsidRPr="008941B2">
        <w:rPr>
          <w:rFonts w:ascii="Titillium" w:hAnsi="Titillium"/>
          <w:szCs w:val="22"/>
        </w:rPr>
        <w:t>vku a</w:t>
      </w:r>
      <w:r w:rsidR="0071224C">
        <w:rPr>
          <w:rFonts w:ascii="Titillium" w:hAnsi="Titillium"/>
          <w:szCs w:val="22"/>
        </w:rPr>
        <w:t> </w:t>
      </w:r>
      <w:r w:rsidRPr="008941B2">
        <w:rPr>
          <w:rFonts w:ascii="Titillium" w:hAnsi="Titillium"/>
          <w:szCs w:val="22"/>
        </w:rPr>
        <w:t>mont</w:t>
      </w:r>
      <w:r w:rsidRPr="008941B2">
        <w:rPr>
          <w:rFonts w:ascii="Titillium" w:hAnsi="Titillium" w:cs="Titillium"/>
          <w:szCs w:val="22"/>
        </w:rPr>
        <w:t>áž</w:t>
      </w:r>
      <w:r w:rsidRPr="008941B2">
        <w:rPr>
          <w:rFonts w:ascii="Titillium" w:hAnsi="Titillium"/>
          <w:szCs w:val="22"/>
        </w:rPr>
        <w:t xml:space="preserve"> elektroinstalace a nov</w:t>
      </w:r>
      <w:r w:rsidRPr="008941B2">
        <w:rPr>
          <w:rFonts w:ascii="Titillium" w:hAnsi="Titillium" w:cs="Titillium"/>
          <w:szCs w:val="22"/>
        </w:rPr>
        <w:t>ý</w:t>
      </w:r>
      <w:r w:rsidRPr="008941B2">
        <w:rPr>
          <w:rFonts w:ascii="Titillium" w:hAnsi="Titillium"/>
          <w:szCs w:val="22"/>
        </w:rPr>
        <w:t>ch p</w:t>
      </w:r>
      <w:r w:rsidRPr="008941B2">
        <w:rPr>
          <w:rFonts w:ascii="Titillium" w:hAnsi="Titillium" w:cs="Titillium"/>
          <w:szCs w:val="22"/>
        </w:rPr>
        <w:t>ří</w:t>
      </w:r>
      <w:r w:rsidRPr="008941B2">
        <w:rPr>
          <w:rFonts w:ascii="Titillium" w:hAnsi="Titillium"/>
          <w:szCs w:val="22"/>
        </w:rPr>
        <w:t>stroj</w:t>
      </w:r>
      <w:r w:rsidRPr="008941B2">
        <w:rPr>
          <w:rFonts w:ascii="Titillium" w:hAnsi="Titillium" w:cs="Titillium"/>
          <w:szCs w:val="22"/>
        </w:rPr>
        <w:t>ů</w:t>
      </w:r>
      <w:r w:rsidRPr="008941B2">
        <w:rPr>
          <w:rFonts w:ascii="Titillium" w:hAnsi="Titillium"/>
          <w:szCs w:val="22"/>
        </w:rPr>
        <w:t xml:space="preserve"> pro </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xml:space="preserve"> tah</w:t>
      </w:r>
      <w:r w:rsidRPr="008941B2">
        <w:rPr>
          <w:rFonts w:ascii="Titillium" w:hAnsi="Titillium" w:cs="Titillium"/>
          <w:szCs w:val="22"/>
        </w:rPr>
        <w:t>ů</w:t>
      </w:r>
      <w:r w:rsidRPr="008941B2">
        <w:rPr>
          <w:rFonts w:ascii="Titillium" w:hAnsi="Titillium"/>
          <w:szCs w:val="22"/>
        </w:rPr>
        <w:t xml:space="preserve"> a aktualizaci softwaru. Nov</w:t>
      </w:r>
      <w:r w:rsidRPr="008941B2">
        <w:rPr>
          <w:rFonts w:ascii="Titillium" w:hAnsi="Titillium" w:cs="Titillium"/>
          <w:szCs w:val="22"/>
        </w:rPr>
        <w:t>é</w:t>
      </w:r>
      <w:r w:rsidRPr="008941B2">
        <w:rPr>
          <w:rFonts w:ascii="Titillium" w:hAnsi="Titillium"/>
          <w:szCs w:val="22"/>
        </w:rPr>
        <w:t xml:space="preserve"> za</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xml:space="preserve"> mus</w:t>
      </w:r>
      <w:r w:rsidRPr="008941B2">
        <w:rPr>
          <w:rFonts w:ascii="Titillium" w:hAnsi="Titillium" w:cs="Titillium"/>
          <w:szCs w:val="22"/>
        </w:rPr>
        <w:t>í</w:t>
      </w:r>
      <w:r w:rsidRPr="008941B2">
        <w:rPr>
          <w:rFonts w:ascii="Titillium" w:hAnsi="Titillium"/>
          <w:szCs w:val="22"/>
        </w:rPr>
        <w:t xml:space="preserve"> b</w:t>
      </w:r>
      <w:r w:rsidRPr="008941B2">
        <w:rPr>
          <w:rFonts w:ascii="Titillium" w:hAnsi="Titillium" w:cs="Titillium"/>
          <w:szCs w:val="22"/>
        </w:rPr>
        <w:t>ý</w:t>
      </w:r>
      <w:r w:rsidRPr="008941B2">
        <w:rPr>
          <w:rFonts w:ascii="Titillium" w:hAnsi="Titillium"/>
          <w:szCs w:val="22"/>
        </w:rPr>
        <w:t>t pln</w:t>
      </w:r>
      <w:r w:rsidRPr="008941B2">
        <w:rPr>
          <w:rFonts w:ascii="Titillium" w:hAnsi="Titillium" w:cs="Titillium"/>
          <w:szCs w:val="22"/>
        </w:rPr>
        <w:t>ě</w:t>
      </w:r>
      <w:r w:rsidRPr="008941B2">
        <w:rPr>
          <w:rFonts w:ascii="Titillium" w:hAnsi="Titillium"/>
          <w:szCs w:val="22"/>
        </w:rPr>
        <w:t xml:space="preserve"> kompatibiln</w:t>
      </w:r>
      <w:r w:rsidRPr="008941B2">
        <w:rPr>
          <w:rFonts w:ascii="Titillium" w:hAnsi="Titillium" w:cs="Titillium"/>
          <w:szCs w:val="22"/>
        </w:rPr>
        <w:t>í</w:t>
      </w:r>
      <w:r w:rsidRPr="008941B2">
        <w:rPr>
          <w:rFonts w:ascii="Titillium" w:hAnsi="Titillium"/>
          <w:szCs w:val="22"/>
        </w:rPr>
        <w:t xml:space="preserve"> se st</w:t>
      </w:r>
      <w:r w:rsidRPr="008941B2">
        <w:rPr>
          <w:rFonts w:ascii="Titillium" w:hAnsi="Titillium" w:cs="Titillium"/>
          <w:szCs w:val="22"/>
        </w:rPr>
        <w:t>á</w:t>
      </w:r>
      <w:r w:rsidRPr="008941B2">
        <w:rPr>
          <w:rFonts w:ascii="Titillium" w:hAnsi="Titillium"/>
          <w:szCs w:val="22"/>
        </w:rPr>
        <w:t>vaj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 xml:space="preserve">m </w:t>
      </w:r>
      <w:r w:rsidRPr="008941B2">
        <w:rPr>
          <w:rFonts w:ascii="Titillium" w:hAnsi="Titillium" w:cs="Titillium"/>
          <w:szCs w:val="22"/>
        </w:rPr>
        <w:t>ří</w:t>
      </w:r>
      <w:r w:rsidRPr="008941B2">
        <w:rPr>
          <w:rFonts w:ascii="Titillium" w:hAnsi="Titillium"/>
          <w:szCs w:val="22"/>
        </w:rPr>
        <w:t>dic</w:t>
      </w:r>
      <w:r w:rsidRPr="008941B2">
        <w:rPr>
          <w:rFonts w:ascii="Titillium" w:hAnsi="Titillium" w:cs="Titillium"/>
          <w:szCs w:val="22"/>
        </w:rPr>
        <w:t>í</w:t>
      </w:r>
      <w:r w:rsidRPr="008941B2">
        <w:rPr>
          <w:rFonts w:ascii="Titillium" w:hAnsi="Titillium"/>
          <w:szCs w:val="22"/>
        </w:rPr>
        <w:t>m syst</w:t>
      </w:r>
      <w:r w:rsidRPr="008941B2">
        <w:rPr>
          <w:rFonts w:ascii="Titillium" w:hAnsi="Titillium" w:cs="Titillium"/>
          <w:szCs w:val="22"/>
        </w:rPr>
        <w:t>é</w:t>
      </w:r>
      <w:r w:rsidRPr="008941B2">
        <w:rPr>
          <w:rFonts w:ascii="Titillium" w:hAnsi="Titillium"/>
          <w:szCs w:val="22"/>
        </w:rPr>
        <w:t>m tah</w:t>
      </w:r>
      <w:r w:rsidRPr="008941B2">
        <w:rPr>
          <w:rFonts w:ascii="Titillium" w:hAnsi="Titillium" w:cs="Titillium"/>
          <w:szCs w:val="22"/>
        </w:rPr>
        <w:t>ů</w:t>
      </w:r>
      <w:r w:rsidRPr="008941B2">
        <w:rPr>
          <w:rFonts w:ascii="Titillium" w:hAnsi="Titillium"/>
          <w:szCs w:val="22"/>
        </w:rPr>
        <w:t xml:space="preserve"> a mus</w:t>
      </w:r>
      <w:r w:rsidRPr="008941B2">
        <w:rPr>
          <w:rFonts w:ascii="Titillium" w:hAnsi="Titillium" w:cs="Titillium"/>
          <w:szCs w:val="22"/>
        </w:rPr>
        <w:t>í</w:t>
      </w:r>
      <w:r w:rsidRPr="008941B2">
        <w:rPr>
          <w:rFonts w:ascii="Titillium" w:hAnsi="Titillium"/>
          <w:szCs w:val="22"/>
        </w:rPr>
        <w:t xml:space="preserve"> b</w:t>
      </w:r>
      <w:r w:rsidRPr="008941B2">
        <w:rPr>
          <w:rFonts w:ascii="Titillium" w:hAnsi="Titillium" w:cs="Titillium"/>
          <w:szCs w:val="22"/>
        </w:rPr>
        <w:t>ý</w:t>
      </w:r>
      <w:r w:rsidRPr="008941B2">
        <w:rPr>
          <w:rFonts w:ascii="Titillium" w:hAnsi="Titillium"/>
          <w:szCs w:val="22"/>
        </w:rPr>
        <w:t>t zachov</w:t>
      </w:r>
      <w:r w:rsidRPr="008941B2">
        <w:rPr>
          <w:rFonts w:ascii="Titillium" w:hAnsi="Titillium" w:cs="Titillium"/>
          <w:szCs w:val="22"/>
        </w:rPr>
        <w:t>á</w:t>
      </w:r>
      <w:r w:rsidRPr="008941B2">
        <w:rPr>
          <w:rFonts w:ascii="Titillium" w:hAnsi="Titillium"/>
          <w:szCs w:val="22"/>
        </w:rPr>
        <w:t>na v</w:t>
      </w:r>
      <w:r w:rsidRPr="008941B2">
        <w:rPr>
          <w:rFonts w:ascii="Titillium" w:hAnsi="Titillium" w:cs="Titillium"/>
          <w:szCs w:val="22"/>
        </w:rPr>
        <w:t>š</w:t>
      </w:r>
      <w:r w:rsidRPr="008941B2">
        <w:rPr>
          <w:rFonts w:ascii="Titillium" w:hAnsi="Titillium"/>
          <w:szCs w:val="22"/>
        </w:rPr>
        <w:t>echna st</w:t>
      </w:r>
      <w:r w:rsidRPr="008941B2">
        <w:rPr>
          <w:rFonts w:ascii="Titillium" w:hAnsi="Titillium" w:cs="Titillium"/>
          <w:szCs w:val="22"/>
        </w:rPr>
        <w:t>á</w:t>
      </w:r>
      <w:r w:rsidRPr="008941B2">
        <w:rPr>
          <w:rFonts w:ascii="Titillium" w:hAnsi="Titillium"/>
          <w:szCs w:val="22"/>
        </w:rPr>
        <w:t>vaj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 xml:space="preserve"> p</w:t>
      </w:r>
      <w:r w:rsidRPr="008941B2">
        <w:rPr>
          <w:rFonts w:ascii="Titillium" w:hAnsi="Titillium" w:cs="Titillium"/>
          <w:szCs w:val="22"/>
        </w:rPr>
        <w:t>ř</w:t>
      </w:r>
      <w:r w:rsidRPr="008941B2">
        <w:rPr>
          <w:rFonts w:ascii="Titillium" w:hAnsi="Titillium"/>
          <w:szCs w:val="22"/>
        </w:rPr>
        <w:t>edstaven</w:t>
      </w:r>
      <w:r w:rsidRPr="008941B2">
        <w:rPr>
          <w:rFonts w:ascii="Titillium" w:hAnsi="Titillium" w:cs="Titillium"/>
          <w:szCs w:val="22"/>
        </w:rPr>
        <w:t>í</w:t>
      </w:r>
      <w:r w:rsidRPr="008941B2">
        <w:rPr>
          <w:rFonts w:ascii="Titillium" w:hAnsi="Titillium"/>
          <w:szCs w:val="22"/>
        </w:rPr>
        <w:t xml:space="preserve"> ulo</w:t>
      </w:r>
      <w:r w:rsidRPr="008941B2">
        <w:rPr>
          <w:rFonts w:ascii="Titillium" w:hAnsi="Titillium" w:cs="Titillium"/>
          <w:szCs w:val="22"/>
        </w:rPr>
        <w:t>ž</w:t>
      </w:r>
      <w:r w:rsidRPr="008941B2">
        <w:rPr>
          <w:rFonts w:ascii="Titillium" w:hAnsi="Titillium"/>
          <w:szCs w:val="22"/>
        </w:rPr>
        <w:t>en</w:t>
      </w:r>
      <w:r w:rsidRPr="008941B2">
        <w:rPr>
          <w:rFonts w:ascii="Titillium" w:hAnsi="Titillium" w:cs="Titillium"/>
          <w:szCs w:val="22"/>
        </w:rPr>
        <w:t>á</w:t>
      </w:r>
      <w:r w:rsidRPr="008941B2">
        <w:rPr>
          <w:rFonts w:ascii="Titillium" w:hAnsi="Titillium"/>
          <w:szCs w:val="22"/>
        </w:rPr>
        <w:t xml:space="preserve"> v</w:t>
      </w:r>
      <w:r w:rsidRPr="008941B2">
        <w:rPr>
          <w:rFonts w:ascii="Calibri" w:hAnsi="Calibri" w:cs="Calibri"/>
          <w:szCs w:val="22"/>
        </w:rPr>
        <w:t> </w:t>
      </w:r>
      <w:r w:rsidRPr="008941B2">
        <w:rPr>
          <w:rFonts w:ascii="Titillium" w:hAnsi="Titillium"/>
          <w:szCs w:val="22"/>
        </w:rPr>
        <w:t>ovl</w:t>
      </w:r>
      <w:r w:rsidRPr="008941B2">
        <w:rPr>
          <w:rFonts w:ascii="Titillium" w:hAnsi="Titillium" w:cs="Titillium"/>
          <w:szCs w:val="22"/>
        </w:rPr>
        <w:t>á</w:t>
      </w:r>
      <w:r w:rsidRPr="008941B2">
        <w:rPr>
          <w:rFonts w:ascii="Titillium" w:hAnsi="Titillium"/>
          <w:szCs w:val="22"/>
        </w:rPr>
        <w:t>dac</w:t>
      </w:r>
      <w:r w:rsidRPr="008941B2">
        <w:rPr>
          <w:rFonts w:ascii="Titillium" w:hAnsi="Titillium" w:cs="Titillium"/>
          <w:szCs w:val="22"/>
        </w:rPr>
        <w:t>í</w:t>
      </w:r>
      <w:r w:rsidRPr="008941B2">
        <w:rPr>
          <w:rFonts w:ascii="Titillium" w:hAnsi="Titillium"/>
          <w:szCs w:val="22"/>
        </w:rPr>
        <w:t>m pultu divadla. Nov</w:t>
      </w:r>
      <w:r w:rsidRPr="008941B2">
        <w:rPr>
          <w:rFonts w:ascii="Titillium" w:hAnsi="Titillium" w:cs="Titillium"/>
          <w:szCs w:val="22"/>
        </w:rPr>
        <w:t>é</w:t>
      </w:r>
      <w:r w:rsidRPr="008941B2">
        <w:rPr>
          <w:rFonts w:ascii="Titillium" w:hAnsi="Titillium"/>
          <w:szCs w:val="22"/>
        </w:rPr>
        <w:t xml:space="preserve"> tahy mus</w:t>
      </w:r>
      <w:r w:rsidRPr="008941B2">
        <w:rPr>
          <w:rFonts w:ascii="Titillium" w:hAnsi="Titillium" w:cs="Titillium"/>
          <w:szCs w:val="22"/>
        </w:rPr>
        <w:t>í</w:t>
      </w:r>
      <w:r w:rsidRPr="008941B2">
        <w:rPr>
          <w:rFonts w:ascii="Titillium" w:hAnsi="Titillium"/>
          <w:szCs w:val="22"/>
        </w:rPr>
        <w:t xml:space="preserve"> spl</w:t>
      </w:r>
      <w:r w:rsidRPr="008941B2">
        <w:rPr>
          <w:rFonts w:ascii="Titillium" w:hAnsi="Titillium" w:cs="Titillium"/>
          <w:szCs w:val="22"/>
        </w:rPr>
        <w:t>ň</w:t>
      </w:r>
      <w:r w:rsidRPr="008941B2">
        <w:rPr>
          <w:rFonts w:ascii="Titillium" w:hAnsi="Titillium"/>
          <w:szCs w:val="22"/>
        </w:rPr>
        <w:t>ovat v</w:t>
      </w:r>
      <w:r w:rsidRPr="008941B2">
        <w:rPr>
          <w:rFonts w:ascii="Titillium" w:hAnsi="Titillium" w:cs="Titillium"/>
          <w:szCs w:val="22"/>
        </w:rPr>
        <w:t>š</w:t>
      </w:r>
      <w:r w:rsidRPr="008941B2">
        <w:rPr>
          <w:rFonts w:ascii="Titillium" w:hAnsi="Titillium"/>
          <w:szCs w:val="22"/>
        </w:rPr>
        <w:t>echny bezpe</w:t>
      </w:r>
      <w:r w:rsidRPr="008941B2">
        <w:rPr>
          <w:rFonts w:ascii="Titillium" w:hAnsi="Titillium" w:cs="Titillium"/>
          <w:szCs w:val="22"/>
        </w:rPr>
        <w:t>č</w:t>
      </w:r>
      <w:r w:rsidRPr="008941B2">
        <w:rPr>
          <w:rFonts w:ascii="Titillium" w:hAnsi="Titillium"/>
          <w:szCs w:val="22"/>
        </w:rPr>
        <w:t>nostn</w:t>
      </w:r>
      <w:r w:rsidRPr="008941B2">
        <w:rPr>
          <w:rFonts w:ascii="Titillium" w:hAnsi="Titillium" w:cs="Titillium"/>
          <w:szCs w:val="22"/>
        </w:rPr>
        <w:t>í</w:t>
      </w:r>
      <w:r w:rsidRPr="008941B2">
        <w:rPr>
          <w:rFonts w:ascii="Titillium" w:hAnsi="Titillium"/>
          <w:szCs w:val="22"/>
        </w:rPr>
        <w:t xml:space="preserve"> po</w:t>
      </w:r>
      <w:r w:rsidRPr="008941B2">
        <w:rPr>
          <w:rFonts w:ascii="Titillium" w:hAnsi="Titillium" w:cs="Titillium"/>
          <w:szCs w:val="22"/>
        </w:rPr>
        <w:t>ž</w:t>
      </w:r>
      <w:r w:rsidRPr="008941B2">
        <w:rPr>
          <w:rFonts w:ascii="Titillium" w:hAnsi="Titillium"/>
          <w:szCs w:val="22"/>
        </w:rPr>
        <w:t>adavky vych</w:t>
      </w:r>
      <w:r w:rsidRPr="008941B2">
        <w:rPr>
          <w:rFonts w:ascii="Titillium" w:hAnsi="Titillium" w:cs="Titillium"/>
          <w:szCs w:val="22"/>
        </w:rPr>
        <w:t>á</w:t>
      </w:r>
      <w:r w:rsidRPr="008941B2">
        <w:rPr>
          <w:rFonts w:ascii="Titillium" w:hAnsi="Titillium"/>
          <w:szCs w:val="22"/>
        </w:rPr>
        <w:t>zej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 xml:space="preserve"> z</w:t>
      </w:r>
      <w:r w:rsidRPr="008941B2">
        <w:rPr>
          <w:rFonts w:ascii="Calibri" w:hAnsi="Calibri" w:cs="Calibri"/>
          <w:szCs w:val="22"/>
        </w:rPr>
        <w:t> </w:t>
      </w:r>
      <w:r w:rsidRPr="008941B2">
        <w:rPr>
          <w:rFonts w:ascii="Titillium" w:hAnsi="Titillium"/>
          <w:szCs w:val="22"/>
        </w:rPr>
        <w:t>platn</w:t>
      </w:r>
      <w:r w:rsidRPr="008941B2">
        <w:rPr>
          <w:rFonts w:ascii="Titillium" w:hAnsi="Titillium" w:cs="Titillium"/>
          <w:szCs w:val="22"/>
        </w:rPr>
        <w:t>ý</w:t>
      </w:r>
      <w:r w:rsidRPr="008941B2">
        <w:rPr>
          <w:rFonts w:ascii="Titillium" w:hAnsi="Titillium"/>
          <w:szCs w:val="22"/>
        </w:rPr>
        <w:t>ch bezpe</w:t>
      </w:r>
      <w:r w:rsidRPr="008941B2">
        <w:rPr>
          <w:rFonts w:ascii="Titillium" w:hAnsi="Titillium" w:cs="Titillium"/>
          <w:szCs w:val="22"/>
        </w:rPr>
        <w:t>č</w:t>
      </w:r>
      <w:r w:rsidRPr="008941B2">
        <w:rPr>
          <w:rFonts w:ascii="Titillium" w:hAnsi="Titillium"/>
          <w:szCs w:val="22"/>
        </w:rPr>
        <w:t>nostn</w:t>
      </w:r>
      <w:r w:rsidRPr="008941B2">
        <w:rPr>
          <w:rFonts w:ascii="Titillium" w:hAnsi="Titillium" w:cs="Titillium"/>
          <w:szCs w:val="22"/>
        </w:rPr>
        <w:t>í</w:t>
      </w:r>
      <w:r w:rsidRPr="008941B2">
        <w:rPr>
          <w:rFonts w:ascii="Titillium" w:hAnsi="Titillium"/>
          <w:szCs w:val="22"/>
        </w:rPr>
        <w:t xml:space="preserve">ch směrnic a požadavků norem, zejména ČSN EN 17206.  </w:t>
      </w:r>
    </w:p>
    <w:p w14:paraId="1C375BA4" w14:textId="6AB138BD" w:rsidR="008941B2" w:rsidRPr="008941B2" w:rsidRDefault="008941B2" w:rsidP="008941B2">
      <w:pPr>
        <w:ind w:firstLine="0"/>
        <w:rPr>
          <w:rFonts w:ascii="Titillium" w:hAnsi="Titillium"/>
          <w:szCs w:val="22"/>
        </w:rPr>
      </w:pPr>
      <w:r w:rsidRPr="008941B2">
        <w:rPr>
          <w:rFonts w:ascii="Titillium" w:hAnsi="Titillium"/>
          <w:szCs w:val="22"/>
        </w:rPr>
        <w:t>U nově dodaných tahů se předpokládá řízení každého tahu z</w:t>
      </w:r>
      <w:r w:rsidRPr="008941B2">
        <w:rPr>
          <w:rFonts w:ascii="Calibri" w:hAnsi="Calibri" w:cs="Calibri"/>
          <w:szCs w:val="22"/>
        </w:rPr>
        <w:t> </w:t>
      </w:r>
      <w:r w:rsidRPr="008941B2">
        <w:rPr>
          <w:rFonts w:ascii="Titillium" w:hAnsi="Titillium"/>
          <w:szCs w:val="22"/>
        </w:rPr>
        <w:t>jeho osov</w:t>
      </w:r>
      <w:r w:rsidRPr="008941B2">
        <w:rPr>
          <w:rFonts w:ascii="Titillium" w:hAnsi="Titillium" w:cs="Titillium"/>
          <w:szCs w:val="22"/>
        </w:rPr>
        <w:t>é</w:t>
      </w:r>
      <w:r w:rsidRPr="008941B2">
        <w:rPr>
          <w:rFonts w:ascii="Titillium" w:hAnsi="Titillium"/>
          <w:szCs w:val="22"/>
        </w:rPr>
        <w:t>ho rozv</w:t>
      </w:r>
      <w:r w:rsidRPr="008941B2">
        <w:rPr>
          <w:rFonts w:ascii="Titillium" w:hAnsi="Titillium" w:cs="Titillium"/>
          <w:szCs w:val="22"/>
        </w:rPr>
        <w:t>á</w:t>
      </w:r>
      <w:r w:rsidRPr="008941B2">
        <w:rPr>
          <w:rFonts w:ascii="Titillium" w:hAnsi="Titillium"/>
          <w:szCs w:val="22"/>
        </w:rPr>
        <w:t>d</w:t>
      </w:r>
      <w:r w:rsidRPr="008941B2">
        <w:rPr>
          <w:rFonts w:ascii="Titillium" w:hAnsi="Titillium" w:cs="Titillium"/>
          <w:szCs w:val="22"/>
        </w:rPr>
        <w:t>ěč</w:t>
      </w:r>
      <w:r w:rsidRPr="008941B2">
        <w:rPr>
          <w:rFonts w:ascii="Titillium" w:hAnsi="Titillium"/>
          <w:szCs w:val="22"/>
        </w:rPr>
        <w:t>e a propojen</w:t>
      </w:r>
      <w:r w:rsidRPr="008941B2">
        <w:rPr>
          <w:rFonts w:ascii="Titillium" w:hAnsi="Titillium" w:cs="Titillium"/>
          <w:szCs w:val="22"/>
        </w:rPr>
        <w:t>í</w:t>
      </w:r>
      <w:r w:rsidRPr="008941B2">
        <w:rPr>
          <w:rFonts w:ascii="Titillium" w:hAnsi="Titillium"/>
          <w:szCs w:val="22"/>
        </w:rPr>
        <w:t xml:space="preserve"> t</w:t>
      </w:r>
      <w:r w:rsidRPr="008941B2">
        <w:rPr>
          <w:rFonts w:ascii="Titillium" w:hAnsi="Titillium" w:cs="Titillium"/>
          <w:szCs w:val="22"/>
        </w:rPr>
        <w:t>ě</w:t>
      </w:r>
      <w:r w:rsidRPr="008941B2">
        <w:rPr>
          <w:rFonts w:ascii="Titillium" w:hAnsi="Titillium"/>
          <w:szCs w:val="22"/>
        </w:rPr>
        <w:t>chto osov</w:t>
      </w:r>
      <w:r w:rsidRPr="008941B2">
        <w:rPr>
          <w:rFonts w:ascii="Titillium" w:hAnsi="Titillium" w:cs="Titillium"/>
          <w:szCs w:val="22"/>
        </w:rPr>
        <w:t>ý</w:t>
      </w:r>
      <w:r w:rsidRPr="008941B2">
        <w:rPr>
          <w:rFonts w:ascii="Titillium" w:hAnsi="Titillium"/>
          <w:szCs w:val="22"/>
        </w:rPr>
        <w:t>ch rozv</w:t>
      </w:r>
      <w:r w:rsidRPr="008941B2">
        <w:rPr>
          <w:rFonts w:ascii="Titillium" w:hAnsi="Titillium" w:cs="Titillium"/>
          <w:szCs w:val="22"/>
        </w:rPr>
        <w:t>á</w:t>
      </w:r>
      <w:r w:rsidRPr="008941B2">
        <w:rPr>
          <w:rFonts w:ascii="Titillium" w:hAnsi="Titillium"/>
          <w:szCs w:val="22"/>
        </w:rPr>
        <w:t>d</w:t>
      </w:r>
      <w:r w:rsidRPr="008941B2">
        <w:rPr>
          <w:rFonts w:ascii="Titillium" w:hAnsi="Titillium" w:cs="Titillium"/>
          <w:szCs w:val="22"/>
        </w:rPr>
        <w:t>ěčů</w:t>
      </w:r>
      <w:r w:rsidRPr="008941B2">
        <w:rPr>
          <w:rFonts w:ascii="Titillium" w:hAnsi="Titillium"/>
          <w:szCs w:val="22"/>
        </w:rPr>
        <w:t xml:space="preserve"> se st</w:t>
      </w:r>
      <w:r w:rsidRPr="008941B2">
        <w:rPr>
          <w:rFonts w:ascii="Titillium" w:hAnsi="Titillium" w:cs="Titillium"/>
          <w:szCs w:val="22"/>
        </w:rPr>
        <w:t>á</w:t>
      </w:r>
      <w:r w:rsidRPr="008941B2">
        <w:rPr>
          <w:rFonts w:ascii="Titillium" w:hAnsi="Titillium"/>
          <w:szCs w:val="22"/>
        </w:rPr>
        <w:t>vaj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m syst</w:t>
      </w:r>
      <w:r w:rsidRPr="008941B2">
        <w:rPr>
          <w:rFonts w:ascii="Titillium" w:hAnsi="Titillium" w:cs="Titillium"/>
          <w:szCs w:val="22"/>
        </w:rPr>
        <w:t>é</w:t>
      </w:r>
      <w:r w:rsidRPr="008941B2">
        <w:rPr>
          <w:rFonts w:ascii="Titillium" w:hAnsi="Titillium"/>
          <w:szCs w:val="22"/>
        </w:rPr>
        <w:t xml:space="preserve">mem </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xml:space="preserve"> p</w:t>
      </w:r>
      <w:r w:rsidRPr="008941B2">
        <w:rPr>
          <w:rFonts w:ascii="Titillium" w:hAnsi="Titillium" w:cs="Titillium"/>
          <w:szCs w:val="22"/>
        </w:rPr>
        <w:t>ř</w:t>
      </w:r>
      <w:r w:rsidRPr="008941B2">
        <w:rPr>
          <w:rFonts w:ascii="Titillium" w:hAnsi="Titillium"/>
          <w:szCs w:val="22"/>
        </w:rPr>
        <w:t>i zachov</w:t>
      </w:r>
      <w:r w:rsidRPr="008941B2">
        <w:rPr>
          <w:rFonts w:ascii="Titillium" w:hAnsi="Titillium" w:cs="Titillium"/>
          <w:szCs w:val="22"/>
        </w:rPr>
        <w:t>á</w:t>
      </w:r>
      <w:r w:rsidRPr="008941B2">
        <w:rPr>
          <w:rFonts w:ascii="Titillium" w:hAnsi="Titillium"/>
          <w:szCs w:val="22"/>
        </w:rPr>
        <w:t>n</w:t>
      </w:r>
      <w:r w:rsidRPr="008941B2">
        <w:rPr>
          <w:rFonts w:ascii="Titillium" w:hAnsi="Titillium" w:cs="Titillium"/>
          <w:szCs w:val="22"/>
        </w:rPr>
        <w:t>í</w:t>
      </w:r>
      <w:r w:rsidRPr="008941B2">
        <w:rPr>
          <w:rFonts w:ascii="Titillium" w:hAnsi="Titillium"/>
          <w:szCs w:val="22"/>
        </w:rPr>
        <w:t xml:space="preserve"> funk</w:t>
      </w:r>
      <w:r w:rsidRPr="008941B2">
        <w:rPr>
          <w:rFonts w:ascii="Titillium" w:hAnsi="Titillium" w:cs="Titillium"/>
          <w:szCs w:val="22"/>
        </w:rPr>
        <w:t>č</w:t>
      </w:r>
      <w:r w:rsidRPr="008941B2">
        <w:rPr>
          <w:rFonts w:ascii="Titillium" w:hAnsi="Titillium"/>
          <w:szCs w:val="22"/>
        </w:rPr>
        <w:t xml:space="preserve">nosti a </w:t>
      </w:r>
      <w:r w:rsidRPr="008941B2">
        <w:rPr>
          <w:rFonts w:ascii="Titillium" w:hAnsi="Titillium" w:cs="Titillium"/>
          <w:szCs w:val="22"/>
        </w:rPr>
        <w:t>ú</w:t>
      </w:r>
      <w:r w:rsidRPr="008941B2">
        <w:rPr>
          <w:rFonts w:ascii="Titillium" w:hAnsi="Titillium"/>
          <w:szCs w:val="22"/>
        </w:rPr>
        <w:t>plnosti st</w:t>
      </w:r>
      <w:r w:rsidRPr="008941B2">
        <w:rPr>
          <w:rFonts w:ascii="Titillium" w:hAnsi="Titillium" w:cs="Titillium"/>
          <w:szCs w:val="22"/>
        </w:rPr>
        <w:t>á</w:t>
      </w:r>
      <w:r w:rsidRPr="008941B2">
        <w:rPr>
          <w:rFonts w:ascii="Titillium" w:hAnsi="Titillium"/>
          <w:szCs w:val="22"/>
        </w:rPr>
        <w:t>vaj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ho syst</w:t>
      </w:r>
      <w:r w:rsidRPr="008941B2">
        <w:rPr>
          <w:rFonts w:ascii="Titillium" w:hAnsi="Titillium" w:cs="Titillium"/>
          <w:szCs w:val="22"/>
        </w:rPr>
        <w:t>é</w:t>
      </w:r>
      <w:r w:rsidRPr="008941B2">
        <w:rPr>
          <w:rFonts w:ascii="Titillium" w:hAnsi="Titillium"/>
          <w:szCs w:val="22"/>
        </w:rPr>
        <w:t xml:space="preserve">mu </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Software st</w:t>
      </w:r>
      <w:r w:rsidRPr="008941B2">
        <w:rPr>
          <w:rFonts w:ascii="Titillium" w:hAnsi="Titillium" w:cs="Titillium"/>
          <w:szCs w:val="22"/>
        </w:rPr>
        <w:t>á</w:t>
      </w:r>
      <w:r w:rsidRPr="008941B2">
        <w:rPr>
          <w:rFonts w:ascii="Titillium" w:hAnsi="Titillium"/>
          <w:szCs w:val="22"/>
        </w:rPr>
        <w:t>vaj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ho syst</w:t>
      </w:r>
      <w:r w:rsidRPr="008941B2">
        <w:rPr>
          <w:rFonts w:ascii="Titillium" w:hAnsi="Titillium" w:cs="Titillium"/>
          <w:szCs w:val="22"/>
        </w:rPr>
        <w:t>é</w:t>
      </w:r>
      <w:r w:rsidRPr="008941B2">
        <w:rPr>
          <w:rFonts w:ascii="Titillium" w:hAnsi="Titillium"/>
          <w:szCs w:val="22"/>
        </w:rPr>
        <w:t xml:space="preserve">mu </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xml:space="preserve"> mus</w:t>
      </w:r>
      <w:r w:rsidRPr="008941B2">
        <w:rPr>
          <w:rFonts w:ascii="Titillium" w:hAnsi="Titillium" w:cs="Titillium"/>
          <w:szCs w:val="22"/>
        </w:rPr>
        <w:t>í</w:t>
      </w:r>
      <w:r w:rsidRPr="008941B2">
        <w:rPr>
          <w:rFonts w:ascii="Titillium" w:hAnsi="Titillium"/>
          <w:szCs w:val="22"/>
        </w:rPr>
        <w:t xml:space="preserve"> b</w:t>
      </w:r>
      <w:r w:rsidRPr="008941B2">
        <w:rPr>
          <w:rFonts w:ascii="Titillium" w:hAnsi="Titillium" w:cs="Titillium"/>
          <w:szCs w:val="22"/>
        </w:rPr>
        <w:t>ý</w:t>
      </w:r>
      <w:r w:rsidRPr="008941B2">
        <w:rPr>
          <w:rFonts w:ascii="Titillium" w:hAnsi="Titillium"/>
          <w:szCs w:val="22"/>
        </w:rPr>
        <w:t>t vhodn</w:t>
      </w:r>
      <w:r w:rsidRPr="008941B2">
        <w:rPr>
          <w:rFonts w:ascii="Titillium" w:hAnsi="Titillium" w:cs="Titillium"/>
          <w:szCs w:val="22"/>
        </w:rPr>
        <w:t>ě</w:t>
      </w:r>
      <w:r w:rsidRPr="008941B2">
        <w:rPr>
          <w:rFonts w:ascii="Titillium" w:hAnsi="Titillium"/>
          <w:szCs w:val="22"/>
        </w:rPr>
        <w:t xml:space="preserve"> dopln</w:t>
      </w:r>
      <w:r w:rsidRPr="008941B2">
        <w:rPr>
          <w:rFonts w:ascii="Titillium" w:hAnsi="Titillium" w:cs="Titillium"/>
          <w:szCs w:val="22"/>
        </w:rPr>
        <w:t>ě</w:t>
      </w:r>
      <w:r w:rsidRPr="008941B2">
        <w:rPr>
          <w:rFonts w:ascii="Titillium" w:hAnsi="Titillium"/>
          <w:szCs w:val="22"/>
        </w:rPr>
        <w:t>n o tato nov</w:t>
      </w:r>
      <w:r w:rsidRPr="008941B2">
        <w:rPr>
          <w:rFonts w:ascii="Titillium" w:hAnsi="Titillium" w:cs="Titillium"/>
          <w:szCs w:val="22"/>
        </w:rPr>
        <w:t>á</w:t>
      </w:r>
      <w:r w:rsidRPr="008941B2">
        <w:rPr>
          <w:rFonts w:ascii="Titillium" w:hAnsi="Titillium"/>
          <w:szCs w:val="22"/>
        </w:rPr>
        <w:t xml:space="preserve"> za</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xml:space="preserve"> a v</w:t>
      </w:r>
      <w:r w:rsidRPr="008941B2">
        <w:rPr>
          <w:rFonts w:ascii="Calibri" w:hAnsi="Calibri" w:cs="Calibri"/>
          <w:szCs w:val="22"/>
        </w:rPr>
        <w:t> </w:t>
      </w:r>
      <w:r w:rsidRPr="008941B2">
        <w:rPr>
          <w:rFonts w:ascii="Titillium" w:hAnsi="Titillium"/>
          <w:szCs w:val="22"/>
        </w:rPr>
        <w:t>tomto smyslu mus</w:t>
      </w:r>
      <w:r w:rsidRPr="008941B2">
        <w:rPr>
          <w:rFonts w:ascii="Titillium" w:hAnsi="Titillium" w:cs="Titillium"/>
          <w:szCs w:val="22"/>
        </w:rPr>
        <w:t>í</w:t>
      </w:r>
      <w:r w:rsidRPr="008941B2">
        <w:rPr>
          <w:rFonts w:ascii="Titillium" w:hAnsi="Titillium"/>
          <w:szCs w:val="22"/>
        </w:rPr>
        <w:t xml:space="preserve"> b</w:t>
      </w:r>
      <w:r w:rsidRPr="008941B2">
        <w:rPr>
          <w:rFonts w:ascii="Titillium" w:hAnsi="Titillium" w:cs="Titillium"/>
          <w:szCs w:val="22"/>
        </w:rPr>
        <w:t>ý</w:t>
      </w:r>
      <w:r w:rsidRPr="008941B2">
        <w:rPr>
          <w:rFonts w:ascii="Titillium" w:hAnsi="Titillium"/>
          <w:szCs w:val="22"/>
        </w:rPr>
        <w:t>t roz</w:t>
      </w:r>
      <w:r w:rsidRPr="008941B2">
        <w:rPr>
          <w:rFonts w:ascii="Titillium" w:hAnsi="Titillium" w:cs="Titillium"/>
          <w:szCs w:val="22"/>
        </w:rPr>
        <w:t>šíř</w:t>
      </w:r>
      <w:r w:rsidRPr="008941B2">
        <w:rPr>
          <w:rFonts w:ascii="Titillium" w:hAnsi="Titillium"/>
          <w:szCs w:val="22"/>
        </w:rPr>
        <w:t>eno i u</w:t>
      </w:r>
      <w:r w:rsidRPr="008941B2">
        <w:rPr>
          <w:rFonts w:ascii="Titillium" w:hAnsi="Titillium" w:cs="Titillium"/>
          <w:szCs w:val="22"/>
        </w:rPr>
        <w:t>ž</w:t>
      </w:r>
      <w:r w:rsidRPr="008941B2">
        <w:rPr>
          <w:rFonts w:ascii="Titillium" w:hAnsi="Titillium"/>
          <w:szCs w:val="22"/>
        </w:rPr>
        <w:t>ivatelsk</w:t>
      </w:r>
      <w:r w:rsidRPr="008941B2">
        <w:rPr>
          <w:rFonts w:ascii="Titillium" w:hAnsi="Titillium" w:cs="Titillium"/>
          <w:szCs w:val="22"/>
        </w:rPr>
        <w:t>é</w:t>
      </w:r>
      <w:r w:rsidRPr="008941B2">
        <w:rPr>
          <w:rFonts w:ascii="Titillium" w:hAnsi="Titillium"/>
          <w:szCs w:val="22"/>
        </w:rPr>
        <w:t xml:space="preserve"> rozhran</w:t>
      </w:r>
      <w:r w:rsidRPr="008941B2">
        <w:rPr>
          <w:rFonts w:ascii="Titillium" w:hAnsi="Titillium" w:cs="Titillium"/>
          <w:szCs w:val="22"/>
        </w:rPr>
        <w:t>í</w:t>
      </w:r>
      <w:r w:rsidRPr="008941B2">
        <w:rPr>
          <w:rFonts w:ascii="Titillium" w:hAnsi="Titillium"/>
          <w:szCs w:val="22"/>
        </w:rPr>
        <w:t xml:space="preserve"> ovl</w:t>
      </w:r>
      <w:r w:rsidRPr="008941B2">
        <w:rPr>
          <w:rFonts w:ascii="Titillium" w:hAnsi="Titillium" w:cs="Titillium"/>
          <w:szCs w:val="22"/>
        </w:rPr>
        <w:t>á</w:t>
      </w:r>
      <w:r w:rsidRPr="008941B2">
        <w:rPr>
          <w:rFonts w:ascii="Titillium" w:hAnsi="Titillium"/>
          <w:szCs w:val="22"/>
        </w:rPr>
        <w:t>dac</w:t>
      </w:r>
      <w:r w:rsidRPr="008941B2">
        <w:rPr>
          <w:rFonts w:ascii="Titillium" w:hAnsi="Titillium" w:cs="Titillium"/>
          <w:szCs w:val="22"/>
        </w:rPr>
        <w:t>í</w:t>
      </w:r>
      <w:r w:rsidRPr="008941B2">
        <w:rPr>
          <w:rFonts w:ascii="Titillium" w:hAnsi="Titillium"/>
          <w:szCs w:val="22"/>
        </w:rPr>
        <w:t>ch pult</w:t>
      </w:r>
      <w:r w:rsidRPr="008941B2">
        <w:rPr>
          <w:rFonts w:ascii="Titillium" w:hAnsi="Titillium" w:cs="Titillium"/>
          <w:szCs w:val="22"/>
        </w:rPr>
        <w:t>ů</w:t>
      </w:r>
      <w:r w:rsidRPr="008941B2">
        <w:rPr>
          <w:rFonts w:ascii="Titillium" w:hAnsi="Titillium"/>
          <w:szCs w:val="22"/>
        </w:rPr>
        <w:t>. V</w:t>
      </w:r>
      <w:r w:rsidRPr="008941B2">
        <w:rPr>
          <w:rFonts w:ascii="Titillium" w:hAnsi="Titillium" w:cs="Titillium"/>
          <w:szCs w:val="22"/>
        </w:rPr>
        <w:t>š</w:t>
      </w:r>
      <w:r w:rsidRPr="008941B2">
        <w:rPr>
          <w:rFonts w:ascii="Titillium" w:hAnsi="Titillium"/>
          <w:szCs w:val="22"/>
        </w:rPr>
        <w:t xml:space="preserve">echny </w:t>
      </w:r>
      <w:r w:rsidRPr="008941B2">
        <w:rPr>
          <w:rFonts w:ascii="Titillium" w:hAnsi="Titillium" w:cs="Titillium"/>
          <w:szCs w:val="22"/>
        </w:rPr>
        <w:t>ú</w:t>
      </w:r>
      <w:r w:rsidRPr="008941B2">
        <w:rPr>
          <w:rFonts w:ascii="Titillium" w:hAnsi="Titillium"/>
          <w:szCs w:val="22"/>
        </w:rPr>
        <w:t>pravy souvisej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 xml:space="preserve"> s</w:t>
      </w:r>
      <w:r w:rsidRPr="008941B2">
        <w:rPr>
          <w:rFonts w:ascii="Calibri" w:hAnsi="Calibri" w:cs="Calibri"/>
          <w:szCs w:val="22"/>
        </w:rPr>
        <w:t> </w:t>
      </w:r>
      <w:r w:rsidRPr="008941B2">
        <w:rPr>
          <w:rFonts w:ascii="Titillium" w:hAnsi="Titillium"/>
          <w:szCs w:val="22"/>
        </w:rPr>
        <w:t>roz</w:t>
      </w:r>
      <w:r w:rsidRPr="008941B2">
        <w:rPr>
          <w:rFonts w:ascii="Titillium" w:hAnsi="Titillium" w:cs="Titillium"/>
          <w:szCs w:val="22"/>
        </w:rPr>
        <w:t>šíř</w:t>
      </w:r>
      <w:r w:rsidRPr="008941B2">
        <w:rPr>
          <w:rFonts w:ascii="Titillium" w:hAnsi="Titillium"/>
          <w:szCs w:val="22"/>
        </w:rPr>
        <w:t>en</w:t>
      </w:r>
      <w:r w:rsidRPr="008941B2">
        <w:rPr>
          <w:rFonts w:ascii="Titillium" w:hAnsi="Titillium" w:cs="Titillium"/>
          <w:szCs w:val="22"/>
        </w:rPr>
        <w:t>í</w:t>
      </w:r>
      <w:r w:rsidRPr="008941B2">
        <w:rPr>
          <w:rFonts w:ascii="Titillium" w:hAnsi="Titillium"/>
          <w:szCs w:val="22"/>
        </w:rPr>
        <w:t>m o nov</w:t>
      </w:r>
      <w:r w:rsidRPr="008941B2">
        <w:rPr>
          <w:rFonts w:ascii="Titillium" w:hAnsi="Titillium" w:cs="Titillium"/>
          <w:szCs w:val="22"/>
        </w:rPr>
        <w:t>á</w:t>
      </w:r>
      <w:r w:rsidRPr="008941B2">
        <w:rPr>
          <w:rFonts w:ascii="Titillium" w:hAnsi="Titillium"/>
          <w:szCs w:val="22"/>
        </w:rPr>
        <w:t xml:space="preserve"> za</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xml:space="preserve"> nesm</w:t>
      </w:r>
      <w:r w:rsidRPr="008941B2">
        <w:rPr>
          <w:rFonts w:ascii="Titillium" w:hAnsi="Titillium" w:cs="Titillium"/>
          <w:szCs w:val="22"/>
        </w:rPr>
        <w:t>í</w:t>
      </w:r>
      <w:r w:rsidRPr="008941B2">
        <w:rPr>
          <w:rFonts w:ascii="Titillium" w:hAnsi="Titillium"/>
          <w:szCs w:val="22"/>
        </w:rPr>
        <w:t xml:space="preserve"> v</w:t>
      </w:r>
      <w:r w:rsidRPr="008941B2">
        <w:rPr>
          <w:rFonts w:ascii="Titillium" w:hAnsi="Titillium" w:cs="Titillium"/>
          <w:szCs w:val="22"/>
        </w:rPr>
        <w:t>é</w:t>
      </w:r>
      <w:r w:rsidRPr="008941B2">
        <w:rPr>
          <w:rFonts w:ascii="Titillium" w:hAnsi="Titillium"/>
          <w:szCs w:val="22"/>
        </w:rPr>
        <w:t>st ke ztr</w:t>
      </w:r>
      <w:r w:rsidRPr="008941B2">
        <w:rPr>
          <w:rFonts w:ascii="Titillium" w:hAnsi="Titillium" w:cs="Titillium"/>
          <w:szCs w:val="22"/>
        </w:rPr>
        <w:t>á</w:t>
      </w:r>
      <w:r w:rsidRPr="008941B2">
        <w:rPr>
          <w:rFonts w:ascii="Titillium" w:hAnsi="Titillium"/>
          <w:szCs w:val="22"/>
        </w:rPr>
        <w:t>t</w:t>
      </w:r>
      <w:r w:rsidRPr="008941B2">
        <w:rPr>
          <w:rFonts w:ascii="Titillium" w:hAnsi="Titillium" w:cs="Titillium"/>
          <w:szCs w:val="22"/>
        </w:rPr>
        <w:t>ě</w:t>
      </w:r>
      <w:r w:rsidRPr="008941B2">
        <w:rPr>
          <w:rFonts w:ascii="Titillium" w:hAnsi="Titillium"/>
          <w:szCs w:val="22"/>
        </w:rPr>
        <w:t xml:space="preserve"> ji</w:t>
      </w:r>
      <w:r w:rsidRPr="008941B2">
        <w:rPr>
          <w:rFonts w:ascii="Titillium" w:hAnsi="Titillium" w:cs="Titillium"/>
          <w:szCs w:val="22"/>
        </w:rPr>
        <w:t>ž</w:t>
      </w:r>
      <w:r w:rsidRPr="008941B2">
        <w:rPr>
          <w:rFonts w:ascii="Titillium" w:hAnsi="Titillium"/>
          <w:szCs w:val="22"/>
        </w:rPr>
        <w:t xml:space="preserve"> instalovan</w:t>
      </w:r>
      <w:r w:rsidRPr="008941B2">
        <w:rPr>
          <w:rFonts w:ascii="Titillium" w:hAnsi="Titillium" w:cs="Titillium"/>
          <w:szCs w:val="22"/>
        </w:rPr>
        <w:t>é</w:t>
      </w:r>
      <w:r w:rsidRPr="008941B2">
        <w:rPr>
          <w:rFonts w:ascii="Titillium" w:hAnsi="Titillium"/>
          <w:szCs w:val="22"/>
        </w:rPr>
        <w:t xml:space="preserve"> funk</w:t>
      </w:r>
      <w:r w:rsidRPr="008941B2">
        <w:rPr>
          <w:rFonts w:ascii="Titillium" w:hAnsi="Titillium" w:cs="Titillium"/>
          <w:szCs w:val="22"/>
        </w:rPr>
        <w:t>č</w:t>
      </w:r>
      <w:r w:rsidRPr="008941B2">
        <w:rPr>
          <w:rFonts w:ascii="Titillium" w:hAnsi="Titillium"/>
          <w:szCs w:val="22"/>
        </w:rPr>
        <w:t>n</w:t>
      </w:r>
      <w:r w:rsidRPr="008941B2">
        <w:rPr>
          <w:rFonts w:ascii="Titillium" w:hAnsi="Titillium" w:cs="Titillium"/>
          <w:szCs w:val="22"/>
        </w:rPr>
        <w:t>í</w:t>
      </w:r>
      <w:r w:rsidRPr="008941B2">
        <w:rPr>
          <w:rFonts w:ascii="Titillium" w:hAnsi="Titillium"/>
          <w:szCs w:val="22"/>
        </w:rPr>
        <w:t xml:space="preserve"> bezpe</w:t>
      </w:r>
      <w:r w:rsidRPr="008941B2">
        <w:rPr>
          <w:rFonts w:ascii="Titillium" w:hAnsi="Titillium" w:cs="Titillium"/>
          <w:szCs w:val="22"/>
        </w:rPr>
        <w:t>č</w:t>
      </w:r>
      <w:r w:rsidRPr="008941B2">
        <w:rPr>
          <w:rFonts w:ascii="Titillium" w:hAnsi="Titillium"/>
          <w:szCs w:val="22"/>
        </w:rPr>
        <w:t xml:space="preserve">nosti a </w:t>
      </w:r>
      <w:r w:rsidRPr="008941B2">
        <w:rPr>
          <w:rFonts w:ascii="Titillium" w:hAnsi="Titillium" w:cs="Titillium"/>
          <w:szCs w:val="22"/>
        </w:rPr>
        <w:t>ří</w:t>
      </w:r>
      <w:r w:rsidRPr="008941B2">
        <w:rPr>
          <w:rFonts w:ascii="Titillium" w:hAnsi="Titillium"/>
          <w:szCs w:val="22"/>
        </w:rPr>
        <w:t>dic</w:t>
      </w:r>
      <w:r w:rsidRPr="008941B2">
        <w:rPr>
          <w:rFonts w:ascii="Titillium" w:hAnsi="Titillium" w:cs="Titillium"/>
          <w:szCs w:val="22"/>
        </w:rPr>
        <w:t>í</w:t>
      </w:r>
      <w:r w:rsidRPr="008941B2">
        <w:rPr>
          <w:rFonts w:ascii="Titillium" w:hAnsi="Titillium"/>
          <w:szCs w:val="22"/>
        </w:rPr>
        <w:t>ch a ovládacích funkcí stávajících zařízení.</w:t>
      </w:r>
    </w:p>
    <w:p w14:paraId="12C368F0" w14:textId="220ACB58" w:rsidR="008941B2" w:rsidRPr="008941B2" w:rsidRDefault="008941B2" w:rsidP="008941B2">
      <w:pPr>
        <w:ind w:firstLine="0"/>
        <w:rPr>
          <w:rFonts w:ascii="Titillium" w:hAnsi="Titillium"/>
          <w:szCs w:val="22"/>
        </w:rPr>
      </w:pPr>
      <w:r w:rsidRPr="008941B2">
        <w:rPr>
          <w:rFonts w:ascii="Titillium" w:hAnsi="Titillium"/>
          <w:szCs w:val="22"/>
        </w:rPr>
        <w:t xml:space="preserve">Vzhledem k definovanému účelu nově instalovaných tahů, jejich umístění a vzhledem k jejich způsobu provozu lze očekávat, že výslednými analýzami rizik před a během výměny tahů a doplnění stávajícího systému řízení dodavatelská firma stanoví integritu bezpečnosti jednotlivých bezpečnostních funkcí až do úrovně SIL3 (dle souboru technických norem ČSN EN 61508-1 </w:t>
      </w:r>
      <w:proofErr w:type="spellStart"/>
      <w:r w:rsidRPr="008941B2">
        <w:rPr>
          <w:rFonts w:ascii="Titillium" w:hAnsi="Titillium"/>
          <w:szCs w:val="22"/>
        </w:rPr>
        <w:t>ed</w:t>
      </w:r>
      <w:proofErr w:type="spellEnd"/>
      <w:r w:rsidRPr="008941B2">
        <w:rPr>
          <w:rFonts w:ascii="Titillium" w:hAnsi="Titillium"/>
          <w:szCs w:val="22"/>
        </w:rPr>
        <w:t xml:space="preserve">. 2 až ČSN EN 61508-7 </w:t>
      </w:r>
      <w:proofErr w:type="spellStart"/>
      <w:r w:rsidRPr="008941B2">
        <w:rPr>
          <w:rFonts w:ascii="Titillium" w:hAnsi="Titillium"/>
          <w:szCs w:val="22"/>
        </w:rPr>
        <w:t>ed</w:t>
      </w:r>
      <w:proofErr w:type="spellEnd"/>
      <w:r w:rsidRPr="008941B2">
        <w:rPr>
          <w:rFonts w:ascii="Titillium" w:hAnsi="Titillium"/>
          <w:szCs w:val="22"/>
        </w:rPr>
        <w:t>. 2) /</w:t>
      </w:r>
      <w:proofErr w:type="spellStart"/>
      <w:r w:rsidRPr="008941B2">
        <w:rPr>
          <w:rFonts w:ascii="Titillium" w:hAnsi="Titillium"/>
          <w:szCs w:val="22"/>
        </w:rPr>
        <w:t>Safety</w:t>
      </w:r>
      <w:proofErr w:type="spellEnd"/>
      <w:r w:rsidRPr="008941B2">
        <w:rPr>
          <w:rFonts w:ascii="Titillium" w:hAnsi="Titillium"/>
          <w:szCs w:val="22"/>
        </w:rPr>
        <w:t xml:space="preserve"> Integrity Level/</w:t>
      </w:r>
      <w:r w:rsidR="00BE5E15">
        <w:rPr>
          <w:rFonts w:ascii="Titillium" w:hAnsi="Titillium"/>
          <w:szCs w:val="22"/>
        </w:rPr>
        <w:t>,</w:t>
      </w:r>
      <w:r w:rsidRPr="008941B2">
        <w:rPr>
          <w:rFonts w:ascii="Titillium" w:hAnsi="Titillium"/>
          <w:szCs w:val="22"/>
        </w:rPr>
        <w:t xml:space="preserve"> potažmo úroveň vlastností až do úrovně PL e (dle ČSN EN ISO 13849-1) /Performance Level/. Konstrukci elektrického vybavení je nutné provést výběrem vhodných bezpečnostních opatření pro zjištěný </w:t>
      </w:r>
      <w:r w:rsidRPr="008941B2">
        <w:rPr>
          <w:rFonts w:ascii="Titillium" w:hAnsi="Titillium"/>
          <w:szCs w:val="22"/>
        </w:rPr>
        <w:lastRenderedPageBreak/>
        <w:t>SIL případně PL. Ochranná opatření jsou kombinací opatření, která jsou konstrukčně integrována a takových opatření, která musí být provedena při používání zařízení.</w:t>
      </w:r>
    </w:p>
    <w:p w14:paraId="6D9D882A" w14:textId="77777777" w:rsidR="008941B2" w:rsidRPr="008941B2" w:rsidRDefault="008941B2" w:rsidP="008941B2">
      <w:pPr>
        <w:ind w:firstLine="0"/>
        <w:rPr>
          <w:rFonts w:ascii="Titillium" w:hAnsi="Titillium"/>
          <w:szCs w:val="22"/>
        </w:rPr>
      </w:pPr>
      <w:r w:rsidRPr="008941B2">
        <w:rPr>
          <w:rFonts w:ascii="Titillium" w:hAnsi="Titillium"/>
          <w:szCs w:val="22"/>
        </w:rPr>
        <w:t>Pokud bude pro realizaci požadovaných bezpečnostních funkcí použito počítačem podporovaných programovatelných systémů, musí být použita opatření pro zabránění poruchy a kontrolu poruchy pro stanovenou úroveň vlastností potažmo úroveň integrity bezpečnosti, přičemž musí být použito dvoukanálových programovatelných systémů s úrovní integrity bezpečnosti SIL, nebo u jednoduchých systémů minimálně úroveň vlastností PL c.</w:t>
      </w:r>
    </w:p>
    <w:p w14:paraId="4F7DB050"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Programovatelná řízení musí splňovat normy ČSN EN 61131-1 a ČSN EN 61131-2 </w:t>
      </w:r>
      <w:proofErr w:type="spellStart"/>
      <w:r w:rsidRPr="008941B2">
        <w:rPr>
          <w:rFonts w:ascii="Titillium" w:hAnsi="Titillium"/>
          <w:szCs w:val="22"/>
        </w:rPr>
        <w:t>ed</w:t>
      </w:r>
      <w:proofErr w:type="spellEnd"/>
      <w:r w:rsidRPr="008941B2">
        <w:rPr>
          <w:rFonts w:ascii="Titillium" w:hAnsi="Titillium"/>
          <w:szCs w:val="22"/>
        </w:rPr>
        <w:t>. 2 týkající se ergonomických požadavků a požadavků na všeobecnou bezpečnost. Zejména musí být zabráněno možnostem modifikace pamětí a databází nepovolenými osobami.</w:t>
      </w:r>
    </w:p>
    <w:p w14:paraId="23E1CD0C" w14:textId="77777777" w:rsidR="008941B2" w:rsidRPr="008941B2" w:rsidRDefault="008941B2" w:rsidP="008941B2">
      <w:pPr>
        <w:ind w:firstLine="0"/>
        <w:rPr>
          <w:rFonts w:ascii="Titillium" w:hAnsi="Titillium"/>
          <w:szCs w:val="22"/>
        </w:rPr>
      </w:pPr>
    </w:p>
    <w:p w14:paraId="288412FD" w14:textId="77777777" w:rsidR="008941B2" w:rsidRPr="008941B2" w:rsidRDefault="008941B2" w:rsidP="008941B2">
      <w:pPr>
        <w:tabs>
          <w:tab w:val="num" w:pos="1134"/>
        </w:tabs>
        <w:ind w:firstLine="0"/>
        <w:rPr>
          <w:rFonts w:ascii="Titillium" w:hAnsi="Titillium"/>
          <w:b/>
          <w:bCs/>
          <w:szCs w:val="22"/>
        </w:rPr>
      </w:pPr>
      <w:r w:rsidRPr="008941B2">
        <w:rPr>
          <w:rFonts w:ascii="Titillium" w:hAnsi="Titillium"/>
          <w:b/>
          <w:bCs/>
          <w:szCs w:val="22"/>
        </w:rPr>
        <w:t>Požadavky na EMC kompatibilitu</w:t>
      </w:r>
    </w:p>
    <w:p w14:paraId="6DD92E47" w14:textId="2D6CAA03" w:rsidR="008941B2" w:rsidRPr="008941B2" w:rsidRDefault="008941B2" w:rsidP="008941B2">
      <w:pPr>
        <w:ind w:firstLine="0"/>
        <w:rPr>
          <w:rFonts w:ascii="Titillium" w:hAnsi="Titillium"/>
          <w:szCs w:val="22"/>
        </w:rPr>
      </w:pPr>
      <w:r w:rsidRPr="008941B2">
        <w:rPr>
          <w:rFonts w:ascii="Titillium" w:hAnsi="Titillium"/>
          <w:szCs w:val="22"/>
        </w:rPr>
        <w:t>Pro navrženou koncepci úpravy systému řízení ve smyslu výměny stávajících tahových zařízení za nové musí být brán zřetel na to, v jakém prostoru je stávající systém řízení umístěn. Jevištní prostory jsou z pravidla citlivé na rušení a vyskytují se zde rozvody ostatních profesí, zejména pak rozvody scénického osvětlení a</w:t>
      </w:r>
      <w:r w:rsidR="00380250">
        <w:rPr>
          <w:rFonts w:ascii="Titillium" w:hAnsi="Titillium"/>
          <w:szCs w:val="22"/>
        </w:rPr>
        <w:t> </w:t>
      </w:r>
      <w:r w:rsidRPr="008941B2">
        <w:rPr>
          <w:rFonts w:ascii="Titillium" w:hAnsi="Titillium"/>
          <w:szCs w:val="22"/>
        </w:rPr>
        <w:t>systémy ozvučení. Je třeba ctít příslušné technické normy a dodržet EMC kompatibilitu systému tak, jako by se jednalo o prostory s touto specifikací:</w:t>
      </w:r>
    </w:p>
    <w:p w14:paraId="3FD146BD" w14:textId="77777777" w:rsidR="008941B2" w:rsidRPr="008941B2" w:rsidRDefault="008941B2" w:rsidP="008941B2">
      <w:pPr>
        <w:ind w:firstLine="0"/>
        <w:rPr>
          <w:rFonts w:ascii="Titillium" w:hAnsi="Titillium"/>
          <w:szCs w:val="22"/>
        </w:rPr>
      </w:pPr>
      <w:r w:rsidRPr="008941B2">
        <w:rPr>
          <w:rFonts w:ascii="Titillium" w:hAnsi="Titillium"/>
          <w:szCs w:val="22"/>
        </w:rPr>
        <w:t>Jednotlivé komponenty elektrického/elektronického vybavení nesmí překročit předem dané mezní hodnoty pro:</w:t>
      </w:r>
    </w:p>
    <w:p w14:paraId="5A939EB2" w14:textId="524B1E61" w:rsidR="008941B2" w:rsidRPr="008941B2" w:rsidRDefault="008941B2" w:rsidP="008941B2">
      <w:pPr>
        <w:ind w:firstLine="0"/>
        <w:rPr>
          <w:rFonts w:ascii="Titillium" w:hAnsi="Titillium"/>
          <w:szCs w:val="22"/>
        </w:rPr>
      </w:pPr>
      <w:r w:rsidRPr="008941B2">
        <w:rPr>
          <w:rFonts w:ascii="Titillium" w:hAnsi="Titillium"/>
          <w:szCs w:val="22"/>
        </w:rPr>
        <w:t>-</w:t>
      </w:r>
      <w:r>
        <w:rPr>
          <w:rFonts w:ascii="Titillium" w:hAnsi="Titillium"/>
          <w:szCs w:val="22"/>
        </w:rPr>
        <w:t xml:space="preserve"> </w:t>
      </w:r>
      <w:r w:rsidRPr="008941B2">
        <w:rPr>
          <w:rFonts w:ascii="Titillium" w:hAnsi="Titillium"/>
          <w:szCs w:val="22"/>
        </w:rPr>
        <w:t xml:space="preserve">emise elektromagnetického záření podle normy ČSN EN 61000-6-4 </w:t>
      </w:r>
      <w:proofErr w:type="spellStart"/>
      <w:r w:rsidRPr="008941B2">
        <w:rPr>
          <w:rFonts w:ascii="Titillium" w:hAnsi="Titillium"/>
          <w:szCs w:val="22"/>
        </w:rPr>
        <w:t>ed</w:t>
      </w:r>
      <w:proofErr w:type="spellEnd"/>
      <w:r w:rsidRPr="008941B2">
        <w:rPr>
          <w:rFonts w:ascii="Titillium" w:hAnsi="Titillium"/>
          <w:szCs w:val="22"/>
        </w:rPr>
        <w:t xml:space="preserve">. 2 a </w:t>
      </w:r>
    </w:p>
    <w:p w14:paraId="6C3BEAED"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 odolnost vůči rušivému elektromagnetickému záření nesmí být nižší, než je uvedeno v normě ČSN EN 61000-6-2 </w:t>
      </w:r>
      <w:proofErr w:type="spellStart"/>
      <w:r w:rsidRPr="008941B2">
        <w:rPr>
          <w:rFonts w:ascii="Titillium" w:hAnsi="Titillium"/>
          <w:szCs w:val="22"/>
        </w:rPr>
        <w:t>ed</w:t>
      </w:r>
      <w:proofErr w:type="spellEnd"/>
      <w:r w:rsidRPr="008941B2">
        <w:rPr>
          <w:rFonts w:ascii="Titillium" w:hAnsi="Titillium"/>
          <w:szCs w:val="22"/>
        </w:rPr>
        <w:t>. 3.</w:t>
      </w:r>
    </w:p>
    <w:p w14:paraId="51B08540" w14:textId="77777777" w:rsidR="008941B2" w:rsidRPr="008941B2" w:rsidRDefault="008941B2" w:rsidP="008941B2">
      <w:pPr>
        <w:ind w:firstLine="0"/>
        <w:rPr>
          <w:rFonts w:ascii="Titillium" w:hAnsi="Titillium"/>
          <w:szCs w:val="22"/>
        </w:rPr>
      </w:pPr>
      <w:r w:rsidRPr="008941B2">
        <w:rPr>
          <w:rFonts w:ascii="Titillium" w:hAnsi="Titillium"/>
          <w:szCs w:val="22"/>
        </w:rPr>
        <w:t>Požadavky, které jsou stanoveny na rušivé vyzařování a na odolnost proti rušení elektrických a elektronických provozních prostředků, platí ve frekvenčním rozsahu 0 Hz až 400 GHz.</w:t>
      </w:r>
    </w:p>
    <w:p w14:paraId="7BF4CB87" w14:textId="77777777" w:rsidR="008941B2" w:rsidRPr="008941B2" w:rsidRDefault="008941B2" w:rsidP="008941B2">
      <w:pPr>
        <w:ind w:firstLine="0"/>
        <w:rPr>
          <w:rFonts w:ascii="Titillium" w:hAnsi="Titillium"/>
          <w:szCs w:val="22"/>
        </w:rPr>
      </w:pPr>
      <w:r w:rsidRPr="008941B2">
        <w:rPr>
          <w:rFonts w:ascii="Titillium" w:hAnsi="Titillium"/>
          <w:szCs w:val="22"/>
        </w:rPr>
        <w:t>Řídicí systém musí být navržen tak, aby byl plně funkční v následujících obecných definicích prostředí:</w:t>
      </w:r>
    </w:p>
    <w:p w14:paraId="7930EDBB" w14:textId="77777777" w:rsidR="008941B2" w:rsidRPr="008941B2" w:rsidRDefault="008941B2" w:rsidP="008941B2">
      <w:pPr>
        <w:ind w:firstLine="0"/>
        <w:rPr>
          <w:rFonts w:ascii="Titillium" w:hAnsi="Titillium"/>
          <w:bCs/>
          <w:szCs w:val="22"/>
        </w:rPr>
      </w:pPr>
      <w:r w:rsidRPr="008941B2">
        <w:rPr>
          <w:rFonts w:ascii="Titillium" w:hAnsi="Titillium"/>
          <w:bCs/>
          <w:szCs w:val="22"/>
        </w:rPr>
        <w:t>- Okolní teplota:</w:t>
      </w:r>
      <w:r w:rsidRPr="008941B2">
        <w:rPr>
          <w:rFonts w:ascii="Titillium" w:hAnsi="Titillium"/>
          <w:bCs/>
          <w:szCs w:val="22"/>
        </w:rPr>
        <w:tab/>
        <w:t>+5 ÷ +45°C</w:t>
      </w:r>
    </w:p>
    <w:p w14:paraId="651D0A27" w14:textId="77777777" w:rsidR="008941B2" w:rsidRPr="008941B2" w:rsidRDefault="008941B2" w:rsidP="008941B2">
      <w:pPr>
        <w:ind w:firstLine="0"/>
        <w:rPr>
          <w:rFonts w:ascii="Titillium" w:hAnsi="Titillium"/>
          <w:bCs/>
          <w:szCs w:val="22"/>
        </w:rPr>
      </w:pPr>
      <w:r w:rsidRPr="008941B2">
        <w:rPr>
          <w:rFonts w:ascii="Titillium" w:hAnsi="Titillium"/>
          <w:bCs/>
          <w:szCs w:val="22"/>
        </w:rPr>
        <w:t>- Vlhkost:</w:t>
      </w:r>
      <w:r w:rsidRPr="008941B2">
        <w:rPr>
          <w:rFonts w:ascii="Titillium" w:hAnsi="Titillium"/>
          <w:bCs/>
          <w:szCs w:val="22"/>
        </w:rPr>
        <w:tab/>
      </w:r>
      <w:r w:rsidRPr="008941B2">
        <w:rPr>
          <w:rFonts w:ascii="Titillium" w:hAnsi="Titillium"/>
          <w:bCs/>
          <w:szCs w:val="22"/>
        </w:rPr>
        <w:tab/>
        <w:t>10 ÷ 60 % relativní vlhkosti</w:t>
      </w:r>
    </w:p>
    <w:p w14:paraId="261B77AD" w14:textId="77777777" w:rsidR="008941B2" w:rsidRPr="008941B2" w:rsidRDefault="008941B2" w:rsidP="008941B2">
      <w:pPr>
        <w:ind w:firstLine="0"/>
        <w:rPr>
          <w:rFonts w:ascii="Titillium" w:hAnsi="Titillium"/>
          <w:bCs/>
          <w:szCs w:val="22"/>
        </w:rPr>
      </w:pPr>
      <w:r w:rsidRPr="008941B2">
        <w:rPr>
          <w:rFonts w:ascii="Titillium" w:hAnsi="Titillium"/>
          <w:bCs/>
          <w:szCs w:val="22"/>
        </w:rPr>
        <w:t>- Napájecí napětí:</w:t>
      </w:r>
      <w:r w:rsidRPr="008941B2">
        <w:rPr>
          <w:rFonts w:ascii="Titillium" w:hAnsi="Titillium"/>
          <w:bCs/>
          <w:szCs w:val="22"/>
        </w:rPr>
        <w:tab/>
        <w:t>230/ 400V +/- max. 10 %</w:t>
      </w:r>
    </w:p>
    <w:p w14:paraId="06CAE4D8" w14:textId="77777777" w:rsidR="008941B2" w:rsidRPr="008941B2" w:rsidRDefault="008941B2" w:rsidP="008941B2">
      <w:pPr>
        <w:ind w:firstLine="0"/>
        <w:rPr>
          <w:rFonts w:ascii="Titillium" w:hAnsi="Titillium"/>
          <w:bCs/>
          <w:szCs w:val="22"/>
        </w:rPr>
      </w:pPr>
      <w:r w:rsidRPr="008941B2">
        <w:rPr>
          <w:rFonts w:ascii="Titillium" w:hAnsi="Titillium"/>
          <w:bCs/>
          <w:szCs w:val="22"/>
        </w:rPr>
        <w:t>- Frekvence:</w:t>
      </w:r>
      <w:r w:rsidRPr="008941B2">
        <w:rPr>
          <w:rFonts w:ascii="Titillium" w:hAnsi="Titillium"/>
          <w:bCs/>
          <w:szCs w:val="22"/>
        </w:rPr>
        <w:tab/>
      </w:r>
      <w:r w:rsidRPr="008941B2">
        <w:rPr>
          <w:rFonts w:ascii="Titillium" w:hAnsi="Titillium"/>
          <w:bCs/>
          <w:szCs w:val="22"/>
        </w:rPr>
        <w:tab/>
        <w:t>50 Hz +/- 1 %</w:t>
      </w:r>
    </w:p>
    <w:p w14:paraId="30B9E067" w14:textId="77777777" w:rsidR="008941B2" w:rsidRPr="008941B2" w:rsidRDefault="008941B2" w:rsidP="008941B2">
      <w:pPr>
        <w:ind w:firstLine="0"/>
        <w:rPr>
          <w:rFonts w:ascii="Titillium" w:hAnsi="Titillium"/>
          <w:bCs/>
          <w:szCs w:val="22"/>
        </w:rPr>
      </w:pPr>
    </w:p>
    <w:p w14:paraId="65E29027" w14:textId="77777777" w:rsidR="008941B2" w:rsidRPr="008941B2" w:rsidRDefault="008941B2" w:rsidP="008941B2">
      <w:pPr>
        <w:tabs>
          <w:tab w:val="num" w:pos="1134"/>
        </w:tabs>
        <w:ind w:firstLine="0"/>
        <w:rPr>
          <w:rFonts w:ascii="Titillium" w:hAnsi="Titillium"/>
          <w:b/>
          <w:bCs/>
          <w:szCs w:val="22"/>
        </w:rPr>
      </w:pPr>
      <w:r w:rsidRPr="008941B2">
        <w:rPr>
          <w:rFonts w:ascii="Titillium" w:hAnsi="Titillium"/>
          <w:b/>
          <w:bCs/>
          <w:szCs w:val="22"/>
        </w:rPr>
        <w:t>Požadavky na elektrickou instalaci</w:t>
      </w:r>
    </w:p>
    <w:p w14:paraId="3FC125F9" w14:textId="77777777" w:rsidR="008941B2" w:rsidRPr="008941B2" w:rsidRDefault="008941B2" w:rsidP="008941B2">
      <w:pPr>
        <w:ind w:firstLine="0"/>
        <w:rPr>
          <w:rFonts w:ascii="Titillium" w:hAnsi="Titillium"/>
          <w:szCs w:val="22"/>
        </w:rPr>
      </w:pPr>
      <w:r w:rsidRPr="008941B2">
        <w:rPr>
          <w:rFonts w:ascii="Titillium" w:hAnsi="Titillium"/>
          <w:szCs w:val="22"/>
        </w:rPr>
        <w:t>Elektrické vodiče, kabely a vedení musí být zvoleny tak, aby byly vhodné pro vyskytující se provozní podmínky (např. napětí, proud, seskupení kabelů apod.) a pro vnější vlivy (např. okolní teplotu, výskyt vody nebo korozivních látek, mechanická namáhání, nebezpečí požáru). Pro instalaci nových osových rozváděčů a jejich příslušných rozvodů pro napojení do stávajícího systému řízení je nutné využít co nejvíce ze stávajících tras tak, aby při instalaci bylo prováděno minimální množství případných stavebních prací.</w:t>
      </w:r>
    </w:p>
    <w:p w14:paraId="6FDA9A52" w14:textId="77777777" w:rsidR="008941B2" w:rsidRPr="008941B2" w:rsidRDefault="008941B2" w:rsidP="008941B2">
      <w:pPr>
        <w:ind w:firstLine="0"/>
        <w:rPr>
          <w:rFonts w:ascii="Titillium" w:hAnsi="Titillium"/>
          <w:szCs w:val="22"/>
        </w:rPr>
      </w:pPr>
      <w:r w:rsidRPr="008941B2">
        <w:rPr>
          <w:rFonts w:ascii="Titillium" w:hAnsi="Titillium"/>
          <w:szCs w:val="22"/>
        </w:rPr>
        <w:t>Minimální požadavky pro:</w:t>
      </w:r>
    </w:p>
    <w:p w14:paraId="305F25F7" w14:textId="77777777" w:rsidR="008941B2" w:rsidRPr="008941B2" w:rsidRDefault="008941B2" w:rsidP="008941B2">
      <w:pPr>
        <w:ind w:firstLine="0"/>
        <w:rPr>
          <w:rFonts w:ascii="Titillium" w:hAnsi="Titillium"/>
          <w:szCs w:val="22"/>
        </w:rPr>
      </w:pPr>
      <w:r w:rsidRPr="008941B2">
        <w:rPr>
          <w:rFonts w:ascii="Titillium" w:hAnsi="Titillium"/>
          <w:szCs w:val="22"/>
        </w:rPr>
        <w:t>–</w:t>
      </w:r>
      <w:r w:rsidRPr="008941B2">
        <w:rPr>
          <w:rFonts w:ascii="Titillium" w:hAnsi="Titillium"/>
          <w:szCs w:val="22"/>
        </w:rPr>
        <w:tab/>
        <w:t>izolaci;</w:t>
      </w:r>
    </w:p>
    <w:p w14:paraId="4D40370B" w14:textId="77777777" w:rsidR="008941B2" w:rsidRPr="008941B2" w:rsidRDefault="008941B2" w:rsidP="008941B2">
      <w:pPr>
        <w:ind w:firstLine="0"/>
        <w:rPr>
          <w:rFonts w:ascii="Titillium" w:hAnsi="Titillium"/>
          <w:szCs w:val="22"/>
        </w:rPr>
      </w:pPr>
      <w:r w:rsidRPr="008941B2">
        <w:rPr>
          <w:rFonts w:ascii="Titillium" w:hAnsi="Titillium"/>
          <w:szCs w:val="22"/>
        </w:rPr>
        <w:t>–</w:t>
      </w:r>
      <w:r w:rsidRPr="008941B2">
        <w:rPr>
          <w:rFonts w:ascii="Titillium" w:hAnsi="Titillium"/>
          <w:szCs w:val="22"/>
        </w:rPr>
        <w:tab/>
        <w:t>proudovou zatížitelnost;</w:t>
      </w:r>
    </w:p>
    <w:p w14:paraId="338C7152" w14:textId="77777777" w:rsidR="008941B2" w:rsidRPr="008941B2" w:rsidRDefault="008941B2" w:rsidP="008941B2">
      <w:pPr>
        <w:ind w:firstLine="0"/>
        <w:rPr>
          <w:rFonts w:ascii="Titillium" w:hAnsi="Titillium"/>
          <w:szCs w:val="22"/>
        </w:rPr>
      </w:pPr>
      <w:r w:rsidRPr="008941B2">
        <w:rPr>
          <w:rFonts w:ascii="Titillium" w:hAnsi="Titillium"/>
          <w:szCs w:val="22"/>
        </w:rPr>
        <w:t>–</w:t>
      </w:r>
      <w:r w:rsidRPr="008941B2">
        <w:rPr>
          <w:rFonts w:ascii="Titillium" w:hAnsi="Titillium"/>
          <w:szCs w:val="22"/>
        </w:rPr>
        <w:tab/>
        <w:t>pokles napětí;</w:t>
      </w:r>
    </w:p>
    <w:p w14:paraId="2DE425D7" w14:textId="77777777" w:rsidR="008941B2" w:rsidRPr="008941B2" w:rsidRDefault="008941B2" w:rsidP="008941B2">
      <w:pPr>
        <w:ind w:firstLine="0"/>
        <w:rPr>
          <w:rFonts w:ascii="Titillium" w:hAnsi="Titillium"/>
          <w:szCs w:val="22"/>
        </w:rPr>
      </w:pPr>
      <w:r w:rsidRPr="008941B2">
        <w:rPr>
          <w:rFonts w:ascii="Titillium" w:hAnsi="Titillium"/>
          <w:szCs w:val="22"/>
        </w:rPr>
        <w:t>–</w:t>
      </w:r>
      <w:r w:rsidRPr="008941B2">
        <w:rPr>
          <w:rFonts w:ascii="Titillium" w:hAnsi="Titillium"/>
          <w:szCs w:val="22"/>
        </w:rPr>
        <w:tab/>
        <w:t>dimenzování</w:t>
      </w:r>
    </w:p>
    <w:p w14:paraId="248C74C9" w14:textId="77777777" w:rsidR="008941B2" w:rsidRPr="008941B2" w:rsidRDefault="008941B2" w:rsidP="008941B2">
      <w:pPr>
        <w:ind w:firstLine="0"/>
        <w:rPr>
          <w:rFonts w:ascii="Titillium" w:hAnsi="Titillium"/>
          <w:szCs w:val="22"/>
        </w:rPr>
      </w:pPr>
      <w:r w:rsidRPr="008941B2">
        <w:rPr>
          <w:rFonts w:ascii="Titillium" w:hAnsi="Titillium"/>
          <w:szCs w:val="22"/>
        </w:rPr>
        <w:t>elektrických vodičů, kabelů a vedení jsou stanoveny v</w:t>
      </w:r>
      <w:r w:rsidRPr="008941B2">
        <w:rPr>
          <w:rFonts w:ascii="Calibri" w:hAnsi="Calibri" w:cs="Calibri"/>
          <w:szCs w:val="22"/>
        </w:rPr>
        <w:t> </w:t>
      </w:r>
      <w:r w:rsidRPr="008941B2">
        <w:rPr>
          <w:rFonts w:ascii="Titillium" w:hAnsi="Titillium"/>
          <w:szCs w:val="22"/>
        </w:rPr>
        <w:t>technick</w:t>
      </w:r>
      <w:r w:rsidRPr="008941B2">
        <w:rPr>
          <w:rFonts w:ascii="Titillium" w:hAnsi="Titillium" w:cs="Titillium"/>
          <w:szCs w:val="22"/>
        </w:rPr>
        <w:t>é</w:t>
      </w:r>
      <w:r w:rsidRPr="008941B2">
        <w:rPr>
          <w:rFonts w:ascii="Titillium" w:hAnsi="Titillium"/>
          <w:szCs w:val="22"/>
        </w:rPr>
        <w:t xml:space="preserve"> norm</w:t>
      </w:r>
      <w:r w:rsidRPr="008941B2">
        <w:rPr>
          <w:rFonts w:ascii="Titillium" w:hAnsi="Titillium" w:cs="Titillium"/>
          <w:szCs w:val="22"/>
        </w:rPr>
        <w:t>ě</w:t>
      </w:r>
      <w:r w:rsidRPr="008941B2">
        <w:rPr>
          <w:rFonts w:ascii="Titillium" w:hAnsi="Titillium"/>
          <w:szCs w:val="22"/>
        </w:rPr>
        <w:t xml:space="preserve"> </w:t>
      </w:r>
      <w:r w:rsidRPr="008941B2">
        <w:rPr>
          <w:rFonts w:ascii="Titillium" w:hAnsi="Titillium" w:cs="Titillium"/>
          <w:szCs w:val="22"/>
        </w:rPr>
        <w:t>Č</w:t>
      </w:r>
      <w:r w:rsidRPr="008941B2">
        <w:rPr>
          <w:rFonts w:ascii="Titillium" w:hAnsi="Titillium"/>
          <w:szCs w:val="22"/>
        </w:rPr>
        <w:t xml:space="preserve">SN EN 60204-32 </w:t>
      </w:r>
      <w:proofErr w:type="spellStart"/>
      <w:r w:rsidRPr="008941B2">
        <w:rPr>
          <w:rFonts w:ascii="Titillium" w:hAnsi="Titillium"/>
          <w:szCs w:val="22"/>
        </w:rPr>
        <w:t>ed</w:t>
      </w:r>
      <w:proofErr w:type="spellEnd"/>
      <w:r w:rsidRPr="008941B2">
        <w:rPr>
          <w:rFonts w:ascii="Titillium" w:hAnsi="Titillium"/>
          <w:szCs w:val="22"/>
        </w:rPr>
        <w:t>. 2.</w:t>
      </w:r>
    </w:p>
    <w:p w14:paraId="3B690807" w14:textId="77777777" w:rsidR="008941B2" w:rsidRPr="008941B2" w:rsidRDefault="008941B2" w:rsidP="008941B2">
      <w:pPr>
        <w:ind w:firstLine="0"/>
        <w:rPr>
          <w:rFonts w:ascii="Titillium" w:hAnsi="Titillium"/>
          <w:szCs w:val="22"/>
        </w:rPr>
      </w:pPr>
    </w:p>
    <w:p w14:paraId="4765D98C" w14:textId="77777777" w:rsidR="008941B2" w:rsidRPr="008941B2" w:rsidRDefault="008941B2" w:rsidP="008941B2">
      <w:pPr>
        <w:tabs>
          <w:tab w:val="num" w:pos="1134"/>
        </w:tabs>
        <w:ind w:firstLine="0"/>
        <w:rPr>
          <w:rFonts w:ascii="Titillium" w:hAnsi="Titillium"/>
          <w:b/>
          <w:bCs/>
          <w:szCs w:val="22"/>
        </w:rPr>
      </w:pPr>
      <w:r w:rsidRPr="008941B2">
        <w:rPr>
          <w:rFonts w:ascii="Titillium" w:hAnsi="Titillium"/>
          <w:b/>
          <w:bCs/>
          <w:szCs w:val="22"/>
        </w:rPr>
        <w:t>Požadavky na technickou dokumentaci</w:t>
      </w:r>
    </w:p>
    <w:p w14:paraId="2957A401" w14:textId="37392382" w:rsidR="008941B2" w:rsidRPr="008941B2" w:rsidRDefault="008941B2" w:rsidP="008941B2">
      <w:pPr>
        <w:ind w:firstLine="0"/>
        <w:rPr>
          <w:rFonts w:ascii="Titillium" w:hAnsi="Titillium"/>
          <w:szCs w:val="22"/>
        </w:rPr>
      </w:pPr>
      <w:r w:rsidRPr="008941B2">
        <w:rPr>
          <w:rFonts w:ascii="Titillium" w:hAnsi="Titillium"/>
          <w:szCs w:val="22"/>
        </w:rPr>
        <w:t>Rozsah a charakteristické znaky pro elektrotechnickou dokumentaci jsou stanoveny v</w:t>
      </w:r>
      <w:r w:rsidRPr="008941B2">
        <w:rPr>
          <w:rFonts w:ascii="Calibri" w:hAnsi="Calibri" w:cs="Calibri"/>
          <w:szCs w:val="22"/>
        </w:rPr>
        <w:t> </w:t>
      </w:r>
      <w:r w:rsidRPr="008941B2">
        <w:rPr>
          <w:rFonts w:ascii="Titillium" w:hAnsi="Titillium"/>
          <w:szCs w:val="22"/>
        </w:rPr>
        <w:t>technick</w:t>
      </w:r>
      <w:r w:rsidRPr="008941B2">
        <w:rPr>
          <w:rFonts w:ascii="Titillium" w:hAnsi="Titillium" w:cs="Titillium"/>
          <w:szCs w:val="22"/>
        </w:rPr>
        <w:t>é</w:t>
      </w:r>
      <w:r w:rsidRPr="008941B2">
        <w:rPr>
          <w:rFonts w:ascii="Titillium" w:hAnsi="Titillium"/>
          <w:szCs w:val="22"/>
        </w:rPr>
        <w:t xml:space="preserve"> norm</w:t>
      </w:r>
      <w:r w:rsidRPr="008941B2">
        <w:rPr>
          <w:rFonts w:ascii="Titillium" w:hAnsi="Titillium" w:cs="Titillium"/>
          <w:szCs w:val="22"/>
        </w:rPr>
        <w:t>ě</w:t>
      </w:r>
      <w:r w:rsidRPr="008941B2">
        <w:rPr>
          <w:rFonts w:ascii="Titillium" w:hAnsi="Titillium"/>
          <w:szCs w:val="22"/>
        </w:rPr>
        <w:t xml:space="preserve"> </w:t>
      </w:r>
      <w:r w:rsidRPr="008941B2">
        <w:rPr>
          <w:rFonts w:ascii="Titillium" w:hAnsi="Titillium" w:cs="Titillium"/>
          <w:szCs w:val="22"/>
        </w:rPr>
        <w:t>Č</w:t>
      </w:r>
      <w:r w:rsidRPr="008941B2">
        <w:rPr>
          <w:rFonts w:ascii="Titillium" w:hAnsi="Titillium"/>
          <w:szCs w:val="22"/>
        </w:rPr>
        <w:t xml:space="preserve">SN EN 60204-32 </w:t>
      </w:r>
      <w:proofErr w:type="spellStart"/>
      <w:r w:rsidRPr="008941B2">
        <w:rPr>
          <w:rFonts w:ascii="Titillium" w:hAnsi="Titillium"/>
          <w:szCs w:val="22"/>
        </w:rPr>
        <w:t>ed</w:t>
      </w:r>
      <w:proofErr w:type="spellEnd"/>
      <w:r w:rsidRPr="008941B2">
        <w:rPr>
          <w:rFonts w:ascii="Titillium" w:hAnsi="Titillium"/>
          <w:szCs w:val="22"/>
        </w:rPr>
        <w:t>. 2. Technick</w:t>
      </w:r>
      <w:r w:rsidRPr="008941B2">
        <w:rPr>
          <w:rFonts w:ascii="Titillium" w:hAnsi="Titillium" w:cs="Titillium"/>
          <w:szCs w:val="22"/>
        </w:rPr>
        <w:t>á</w:t>
      </w:r>
      <w:r w:rsidRPr="008941B2">
        <w:rPr>
          <w:rFonts w:ascii="Titillium" w:hAnsi="Titillium"/>
          <w:szCs w:val="22"/>
        </w:rPr>
        <w:t xml:space="preserve"> dokumentace strojn</w:t>
      </w:r>
      <w:r w:rsidRPr="008941B2">
        <w:rPr>
          <w:rFonts w:ascii="Titillium" w:hAnsi="Titillium" w:cs="Titillium"/>
          <w:szCs w:val="22"/>
        </w:rPr>
        <w:t>í</w:t>
      </w:r>
      <w:r w:rsidRPr="008941B2">
        <w:rPr>
          <w:rFonts w:ascii="Titillium" w:hAnsi="Titillium"/>
          <w:szCs w:val="22"/>
        </w:rPr>
        <w:t>ch za</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xml:space="preserve"> mus</w:t>
      </w:r>
      <w:r w:rsidRPr="008941B2">
        <w:rPr>
          <w:rFonts w:ascii="Titillium" w:hAnsi="Titillium" w:cs="Titillium"/>
          <w:szCs w:val="22"/>
        </w:rPr>
        <w:t>í</w:t>
      </w:r>
      <w:r w:rsidRPr="008941B2">
        <w:rPr>
          <w:rFonts w:ascii="Titillium" w:hAnsi="Titillium"/>
          <w:szCs w:val="22"/>
        </w:rPr>
        <w:t xml:space="preserve"> z</w:t>
      </w:r>
      <w:r w:rsidRPr="008941B2">
        <w:rPr>
          <w:rFonts w:ascii="Titillium" w:hAnsi="Titillium" w:cs="Titillium"/>
          <w:szCs w:val="22"/>
        </w:rPr>
        <w:t>ř</w:t>
      </w:r>
      <w:r w:rsidRPr="008941B2">
        <w:rPr>
          <w:rFonts w:ascii="Titillium" w:hAnsi="Titillium"/>
          <w:szCs w:val="22"/>
        </w:rPr>
        <w:t>eteln</w:t>
      </w:r>
      <w:r w:rsidRPr="008941B2">
        <w:rPr>
          <w:rFonts w:ascii="Titillium" w:hAnsi="Titillium" w:cs="Titillium"/>
          <w:szCs w:val="22"/>
        </w:rPr>
        <w:t>ě</w:t>
      </w:r>
      <w:r w:rsidRPr="008941B2">
        <w:rPr>
          <w:rFonts w:ascii="Titillium" w:hAnsi="Titillium"/>
          <w:szCs w:val="22"/>
        </w:rPr>
        <w:t xml:space="preserve"> navazovat na st</w:t>
      </w:r>
      <w:r w:rsidRPr="008941B2">
        <w:rPr>
          <w:rFonts w:ascii="Titillium" w:hAnsi="Titillium" w:cs="Titillium"/>
          <w:szCs w:val="22"/>
        </w:rPr>
        <w:t>á</w:t>
      </w:r>
      <w:r w:rsidRPr="008941B2">
        <w:rPr>
          <w:rFonts w:ascii="Titillium" w:hAnsi="Titillium"/>
          <w:szCs w:val="22"/>
        </w:rPr>
        <w:t>vaj</w:t>
      </w:r>
      <w:r w:rsidRPr="008941B2">
        <w:rPr>
          <w:rFonts w:ascii="Titillium" w:hAnsi="Titillium" w:cs="Titillium"/>
          <w:szCs w:val="22"/>
        </w:rPr>
        <w:t>í</w:t>
      </w:r>
      <w:r w:rsidRPr="008941B2">
        <w:rPr>
          <w:rFonts w:ascii="Titillium" w:hAnsi="Titillium"/>
          <w:szCs w:val="22"/>
        </w:rPr>
        <w:t xml:space="preserve"> dokumentaci tak, aby obsluha a </w:t>
      </w:r>
      <w:r w:rsidRPr="008941B2">
        <w:rPr>
          <w:rFonts w:ascii="Titillium" w:hAnsi="Titillium" w:cs="Titillium"/>
          <w:szCs w:val="22"/>
        </w:rPr>
        <w:t>ú</w:t>
      </w:r>
      <w:r w:rsidRPr="008941B2">
        <w:rPr>
          <w:rFonts w:ascii="Titillium" w:hAnsi="Titillium"/>
          <w:szCs w:val="22"/>
        </w:rPr>
        <w:t>dr</w:t>
      </w:r>
      <w:r w:rsidRPr="008941B2">
        <w:rPr>
          <w:rFonts w:ascii="Titillium" w:hAnsi="Titillium" w:cs="Titillium"/>
          <w:szCs w:val="22"/>
        </w:rPr>
        <w:t>ž</w:t>
      </w:r>
      <w:r w:rsidRPr="008941B2">
        <w:rPr>
          <w:rFonts w:ascii="Titillium" w:hAnsi="Titillium"/>
          <w:szCs w:val="22"/>
        </w:rPr>
        <w:t>ba v</w:t>
      </w:r>
      <w:r w:rsidRPr="008941B2">
        <w:rPr>
          <w:rFonts w:ascii="Titillium" w:hAnsi="Titillium" w:cs="Titillium"/>
          <w:szCs w:val="22"/>
        </w:rPr>
        <w:t>č</w:t>
      </w:r>
      <w:r w:rsidRPr="008941B2">
        <w:rPr>
          <w:rFonts w:ascii="Titillium" w:hAnsi="Titillium"/>
          <w:szCs w:val="22"/>
        </w:rPr>
        <w:t>etn</w:t>
      </w:r>
      <w:r w:rsidRPr="008941B2">
        <w:rPr>
          <w:rFonts w:ascii="Titillium" w:hAnsi="Titillium" w:cs="Titillium"/>
          <w:szCs w:val="22"/>
        </w:rPr>
        <w:t>ě</w:t>
      </w:r>
      <w:r w:rsidRPr="008941B2">
        <w:rPr>
          <w:rFonts w:ascii="Titillium" w:hAnsi="Titillium"/>
          <w:szCs w:val="22"/>
        </w:rPr>
        <w:t xml:space="preserve"> ostatn</w:t>
      </w:r>
      <w:r w:rsidRPr="008941B2">
        <w:rPr>
          <w:rFonts w:ascii="Titillium" w:hAnsi="Titillium" w:cs="Titillium"/>
          <w:szCs w:val="22"/>
        </w:rPr>
        <w:t>í</w:t>
      </w:r>
      <w:r w:rsidRPr="008941B2">
        <w:rPr>
          <w:rFonts w:ascii="Titillium" w:hAnsi="Titillium"/>
          <w:szCs w:val="22"/>
        </w:rPr>
        <w:t>ho technick</w:t>
      </w:r>
      <w:r w:rsidRPr="008941B2">
        <w:rPr>
          <w:rFonts w:ascii="Titillium" w:hAnsi="Titillium" w:cs="Titillium"/>
          <w:szCs w:val="22"/>
        </w:rPr>
        <w:t>é</w:t>
      </w:r>
      <w:r w:rsidRPr="008941B2">
        <w:rPr>
          <w:rFonts w:ascii="Titillium" w:hAnsi="Titillium"/>
          <w:szCs w:val="22"/>
        </w:rPr>
        <w:t>ho person</w:t>
      </w:r>
      <w:r w:rsidRPr="008941B2">
        <w:rPr>
          <w:rFonts w:ascii="Titillium" w:hAnsi="Titillium" w:cs="Titillium"/>
          <w:szCs w:val="22"/>
        </w:rPr>
        <w:t>á</w:t>
      </w:r>
      <w:r w:rsidRPr="008941B2">
        <w:rPr>
          <w:rFonts w:ascii="Titillium" w:hAnsi="Titillium"/>
          <w:szCs w:val="22"/>
        </w:rPr>
        <w:t>lu byla sezn</w:t>
      </w:r>
      <w:r w:rsidRPr="008941B2">
        <w:rPr>
          <w:rFonts w:ascii="Titillium" w:hAnsi="Titillium" w:cs="Titillium"/>
          <w:szCs w:val="22"/>
        </w:rPr>
        <w:t>á</w:t>
      </w:r>
      <w:r w:rsidRPr="008941B2">
        <w:rPr>
          <w:rFonts w:ascii="Titillium" w:hAnsi="Titillium"/>
          <w:szCs w:val="22"/>
        </w:rPr>
        <w:t>mena se v</w:t>
      </w:r>
      <w:r w:rsidRPr="008941B2">
        <w:rPr>
          <w:rFonts w:ascii="Titillium" w:hAnsi="Titillium" w:cs="Titillium"/>
          <w:szCs w:val="22"/>
        </w:rPr>
        <w:t>š</w:t>
      </w:r>
      <w:r w:rsidRPr="008941B2">
        <w:rPr>
          <w:rFonts w:ascii="Titillium" w:hAnsi="Titillium"/>
          <w:szCs w:val="22"/>
        </w:rPr>
        <w:t>emi aspekty nov</w:t>
      </w:r>
      <w:r w:rsidRPr="008941B2">
        <w:rPr>
          <w:rFonts w:ascii="Titillium" w:hAnsi="Titillium" w:cs="Titillium"/>
          <w:szCs w:val="22"/>
        </w:rPr>
        <w:t>ě</w:t>
      </w:r>
      <w:r w:rsidRPr="008941B2">
        <w:rPr>
          <w:rFonts w:ascii="Titillium" w:hAnsi="Titillium"/>
          <w:szCs w:val="22"/>
        </w:rPr>
        <w:t xml:space="preserve"> instalovan</w:t>
      </w:r>
      <w:r w:rsidRPr="008941B2">
        <w:rPr>
          <w:rFonts w:ascii="Titillium" w:hAnsi="Titillium" w:cs="Titillium"/>
          <w:szCs w:val="22"/>
        </w:rPr>
        <w:t>ý</w:t>
      </w:r>
      <w:r w:rsidRPr="008941B2">
        <w:rPr>
          <w:rFonts w:ascii="Titillium" w:hAnsi="Titillium"/>
          <w:szCs w:val="22"/>
        </w:rPr>
        <w:t>ch za</w:t>
      </w:r>
      <w:r w:rsidRPr="008941B2">
        <w:rPr>
          <w:rFonts w:ascii="Titillium" w:hAnsi="Titillium" w:cs="Titillium"/>
          <w:szCs w:val="22"/>
        </w:rPr>
        <w:t>ří</w:t>
      </w:r>
      <w:r w:rsidRPr="008941B2">
        <w:rPr>
          <w:rFonts w:ascii="Titillium" w:hAnsi="Titillium"/>
          <w:szCs w:val="22"/>
        </w:rPr>
        <w:t>zen</w:t>
      </w:r>
      <w:r w:rsidRPr="008941B2">
        <w:rPr>
          <w:rFonts w:ascii="Titillium" w:hAnsi="Titillium" w:cs="Titillium"/>
          <w:szCs w:val="22"/>
        </w:rPr>
        <w:t>í</w:t>
      </w:r>
      <w:r w:rsidRPr="008941B2">
        <w:rPr>
          <w:rFonts w:ascii="Titillium" w:hAnsi="Titillium"/>
          <w:szCs w:val="22"/>
        </w:rPr>
        <w:t xml:space="preserve"> a demont</w:t>
      </w:r>
      <w:r w:rsidRPr="008941B2">
        <w:rPr>
          <w:rFonts w:ascii="Titillium" w:hAnsi="Titillium" w:cs="Titillium"/>
          <w:szCs w:val="22"/>
        </w:rPr>
        <w:t>áží</w:t>
      </w:r>
      <w:r w:rsidRPr="008941B2">
        <w:rPr>
          <w:rFonts w:ascii="Titillium" w:hAnsi="Titillium"/>
          <w:szCs w:val="22"/>
        </w:rPr>
        <w:t xml:space="preserve"> st</w:t>
      </w:r>
      <w:r w:rsidRPr="008941B2">
        <w:rPr>
          <w:rFonts w:ascii="Titillium" w:hAnsi="Titillium" w:cs="Titillium"/>
          <w:szCs w:val="22"/>
        </w:rPr>
        <w:t>á</w:t>
      </w:r>
      <w:r w:rsidRPr="008941B2">
        <w:rPr>
          <w:rFonts w:ascii="Titillium" w:hAnsi="Titillium"/>
          <w:szCs w:val="22"/>
        </w:rPr>
        <w:t>vaj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ch. V p</w:t>
      </w:r>
      <w:r w:rsidRPr="008941B2">
        <w:rPr>
          <w:rFonts w:ascii="Titillium" w:hAnsi="Titillium" w:cs="Titillium"/>
          <w:szCs w:val="22"/>
        </w:rPr>
        <w:t>ů</w:t>
      </w:r>
      <w:r w:rsidRPr="008941B2">
        <w:rPr>
          <w:rFonts w:ascii="Titillium" w:hAnsi="Titillium"/>
          <w:szCs w:val="22"/>
        </w:rPr>
        <w:t>vodn</w:t>
      </w:r>
      <w:r w:rsidRPr="008941B2">
        <w:rPr>
          <w:rFonts w:ascii="Titillium" w:hAnsi="Titillium" w:cs="Titillium"/>
          <w:szCs w:val="22"/>
        </w:rPr>
        <w:t>í</w:t>
      </w:r>
      <w:r w:rsidRPr="008941B2">
        <w:rPr>
          <w:rFonts w:ascii="Titillium" w:hAnsi="Titillium"/>
          <w:szCs w:val="22"/>
        </w:rPr>
        <w:t xml:space="preserve"> dokumentaci mus</w:t>
      </w:r>
      <w:r w:rsidRPr="008941B2">
        <w:rPr>
          <w:rFonts w:ascii="Titillium" w:hAnsi="Titillium" w:cs="Titillium"/>
          <w:szCs w:val="22"/>
        </w:rPr>
        <w:t>í</w:t>
      </w:r>
      <w:r w:rsidRPr="008941B2">
        <w:rPr>
          <w:rFonts w:ascii="Titillium" w:hAnsi="Titillium"/>
          <w:szCs w:val="22"/>
        </w:rPr>
        <w:t xml:space="preserve"> b</w:t>
      </w:r>
      <w:r w:rsidRPr="008941B2">
        <w:rPr>
          <w:rFonts w:ascii="Titillium" w:hAnsi="Titillium" w:cs="Titillium"/>
          <w:szCs w:val="22"/>
        </w:rPr>
        <w:t>ý</w:t>
      </w:r>
      <w:r w:rsidRPr="008941B2">
        <w:rPr>
          <w:rFonts w:ascii="Titillium" w:hAnsi="Titillium"/>
          <w:szCs w:val="22"/>
        </w:rPr>
        <w:t>t jasn</w:t>
      </w:r>
      <w:r w:rsidRPr="008941B2">
        <w:rPr>
          <w:rFonts w:ascii="Titillium" w:hAnsi="Titillium" w:cs="Titillium"/>
          <w:szCs w:val="22"/>
        </w:rPr>
        <w:t>ě</w:t>
      </w:r>
      <w:r w:rsidRPr="008941B2">
        <w:rPr>
          <w:rFonts w:ascii="Titillium" w:hAnsi="Titillium"/>
          <w:szCs w:val="22"/>
        </w:rPr>
        <w:t xml:space="preserve"> a</w:t>
      </w:r>
      <w:r w:rsidR="006946B1">
        <w:rPr>
          <w:rFonts w:ascii="Titillium" w:hAnsi="Titillium"/>
          <w:szCs w:val="22"/>
        </w:rPr>
        <w:t> </w:t>
      </w:r>
      <w:r w:rsidRPr="008941B2">
        <w:rPr>
          <w:rFonts w:ascii="Titillium" w:hAnsi="Titillium"/>
          <w:szCs w:val="22"/>
        </w:rPr>
        <w:t>p</w:t>
      </w:r>
      <w:r w:rsidRPr="008941B2">
        <w:rPr>
          <w:rFonts w:ascii="Titillium" w:hAnsi="Titillium" w:cs="Titillium"/>
          <w:szCs w:val="22"/>
        </w:rPr>
        <w:t>ř</w:t>
      </w:r>
      <w:r w:rsidRPr="008941B2">
        <w:rPr>
          <w:rFonts w:ascii="Titillium" w:hAnsi="Titillium"/>
          <w:szCs w:val="22"/>
        </w:rPr>
        <w:t>ehledn</w:t>
      </w:r>
      <w:r w:rsidRPr="008941B2">
        <w:rPr>
          <w:rFonts w:ascii="Titillium" w:hAnsi="Titillium" w:cs="Titillium"/>
          <w:szCs w:val="22"/>
        </w:rPr>
        <w:t>ě</w:t>
      </w:r>
      <w:r w:rsidRPr="008941B2">
        <w:rPr>
          <w:rFonts w:ascii="Titillium" w:hAnsi="Titillium"/>
          <w:szCs w:val="22"/>
        </w:rPr>
        <w:t xml:space="preserve"> zaznamen</w:t>
      </w:r>
      <w:r w:rsidRPr="008941B2">
        <w:rPr>
          <w:rFonts w:ascii="Titillium" w:hAnsi="Titillium" w:cs="Titillium"/>
          <w:szCs w:val="22"/>
        </w:rPr>
        <w:t>á</w:t>
      </w:r>
      <w:r w:rsidRPr="008941B2">
        <w:rPr>
          <w:rFonts w:ascii="Titillium" w:hAnsi="Titillium"/>
          <w:szCs w:val="22"/>
        </w:rPr>
        <w:t>ny v</w:t>
      </w:r>
      <w:r w:rsidRPr="008941B2">
        <w:rPr>
          <w:rFonts w:ascii="Titillium" w:hAnsi="Titillium" w:cs="Titillium"/>
          <w:szCs w:val="22"/>
        </w:rPr>
        <w:t>š</w:t>
      </w:r>
      <w:r w:rsidRPr="008941B2">
        <w:rPr>
          <w:rFonts w:ascii="Titillium" w:hAnsi="Titillium"/>
          <w:szCs w:val="22"/>
        </w:rPr>
        <w:t xml:space="preserve">echny </w:t>
      </w:r>
      <w:r w:rsidRPr="008941B2">
        <w:rPr>
          <w:rFonts w:ascii="Titillium" w:hAnsi="Titillium" w:cs="Titillium"/>
          <w:szCs w:val="22"/>
        </w:rPr>
        <w:t>ú</w:t>
      </w:r>
      <w:r w:rsidRPr="008941B2">
        <w:rPr>
          <w:rFonts w:ascii="Titillium" w:hAnsi="Titillium"/>
          <w:szCs w:val="22"/>
        </w:rPr>
        <w:t>pravy a nov</w:t>
      </w:r>
      <w:r w:rsidRPr="008941B2">
        <w:rPr>
          <w:rFonts w:ascii="Titillium" w:hAnsi="Titillium" w:cs="Titillium"/>
          <w:szCs w:val="22"/>
        </w:rPr>
        <w:t>ě</w:t>
      </w:r>
      <w:r w:rsidRPr="008941B2">
        <w:rPr>
          <w:rFonts w:ascii="Titillium" w:hAnsi="Titillium"/>
          <w:szCs w:val="22"/>
        </w:rPr>
        <w:t xml:space="preserve"> dodan</w:t>
      </w:r>
      <w:r w:rsidRPr="008941B2">
        <w:rPr>
          <w:rFonts w:ascii="Titillium" w:hAnsi="Titillium" w:cs="Titillium"/>
          <w:szCs w:val="22"/>
        </w:rPr>
        <w:t>á</w:t>
      </w:r>
      <w:r w:rsidRPr="008941B2">
        <w:rPr>
          <w:rFonts w:ascii="Titillium" w:hAnsi="Titillium"/>
          <w:szCs w:val="22"/>
        </w:rPr>
        <w:t xml:space="preserve"> dokumentace mus</w:t>
      </w:r>
      <w:r w:rsidRPr="008941B2">
        <w:rPr>
          <w:rFonts w:ascii="Titillium" w:hAnsi="Titillium" w:cs="Titillium"/>
          <w:szCs w:val="22"/>
        </w:rPr>
        <w:t>í</w:t>
      </w:r>
      <w:r w:rsidRPr="008941B2">
        <w:rPr>
          <w:rFonts w:ascii="Titillium" w:hAnsi="Titillium"/>
          <w:szCs w:val="22"/>
        </w:rPr>
        <w:t xml:space="preserve"> z</w:t>
      </w:r>
      <w:r w:rsidRPr="008941B2">
        <w:rPr>
          <w:rFonts w:ascii="Titillium" w:hAnsi="Titillium" w:cs="Titillium"/>
          <w:szCs w:val="22"/>
        </w:rPr>
        <w:t>ř</w:t>
      </w:r>
      <w:r w:rsidRPr="008941B2">
        <w:rPr>
          <w:rFonts w:ascii="Titillium" w:hAnsi="Titillium"/>
          <w:szCs w:val="22"/>
        </w:rPr>
        <w:t>eteln</w:t>
      </w:r>
      <w:r w:rsidRPr="008941B2">
        <w:rPr>
          <w:rFonts w:ascii="Titillium" w:hAnsi="Titillium" w:cs="Titillium"/>
          <w:szCs w:val="22"/>
        </w:rPr>
        <w:t>ě</w:t>
      </w:r>
      <w:r w:rsidRPr="008941B2">
        <w:rPr>
          <w:rFonts w:ascii="Titillium" w:hAnsi="Titillium"/>
          <w:szCs w:val="22"/>
        </w:rPr>
        <w:t xml:space="preserve"> odkazovat ke st</w:t>
      </w:r>
      <w:r w:rsidRPr="008941B2">
        <w:rPr>
          <w:rFonts w:ascii="Titillium" w:hAnsi="Titillium" w:cs="Titillium"/>
          <w:szCs w:val="22"/>
        </w:rPr>
        <w:t>á</w:t>
      </w:r>
      <w:r w:rsidRPr="008941B2">
        <w:rPr>
          <w:rFonts w:ascii="Titillium" w:hAnsi="Titillium"/>
          <w:szCs w:val="22"/>
        </w:rPr>
        <w:t>vaj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 xml:space="preserve"> tak, aby se z</w:t>
      </w:r>
      <w:r w:rsidRPr="008941B2">
        <w:rPr>
          <w:rFonts w:ascii="Calibri" w:hAnsi="Calibri" w:cs="Calibri"/>
          <w:szCs w:val="22"/>
        </w:rPr>
        <w:t> </w:t>
      </w:r>
      <w:r w:rsidRPr="008941B2">
        <w:rPr>
          <w:rFonts w:ascii="Titillium" w:hAnsi="Titillium"/>
          <w:szCs w:val="22"/>
        </w:rPr>
        <w:t>pohledu obsluhy a údržby jednalo o kompaktní celek informací ke strojnímu zařízení.</w:t>
      </w:r>
    </w:p>
    <w:p w14:paraId="223B9388" w14:textId="77777777" w:rsidR="008941B2" w:rsidRPr="008941B2" w:rsidRDefault="008941B2" w:rsidP="008941B2">
      <w:pPr>
        <w:ind w:firstLine="0"/>
        <w:rPr>
          <w:rFonts w:ascii="Titillium" w:hAnsi="Titillium"/>
          <w:szCs w:val="22"/>
        </w:rPr>
      </w:pPr>
    </w:p>
    <w:p w14:paraId="629781BA" w14:textId="77777777" w:rsidR="008941B2" w:rsidRPr="008941B2" w:rsidRDefault="008941B2" w:rsidP="008941B2">
      <w:pPr>
        <w:tabs>
          <w:tab w:val="num" w:pos="1134"/>
        </w:tabs>
        <w:ind w:firstLine="0"/>
        <w:rPr>
          <w:rFonts w:ascii="Titillium" w:hAnsi="Titillium"/>
          <w:b/>
          <w:bCs/>
          <w:szCs w:val="22"/>
        </w:rPr>
      </w:pPr>
      <w:r w:rsidRPr="008941B2">
        <w:rPr>
          <w:rFonts w:ascii="Titillium" w:hAnsi="Titillium"/>
          <w:b/>
          <w:bCs/>
          <w:szCs w:val="22"/>
        </w:rPr>
        <w:t>Legislativní rámec</w:t>
      </w:r>
    </w:p>
    <w:tbl>
      <w:tblPr>
        <w:tblStyle w:val="Mkatabulky"/>
        <w:tblW w:w="9930" w:type="dxa"/>
        <w:jc w:val="center"/>
        <w:tblLayout w:type="fixed"/>
        <w:tblLook w:val="0600" w:firstRow="0" w:lastRow="0" w:firstColumn="0" w:lastColumn="0" w:noHBand="1" w:noVBand="1"/>
      </w:tblPr>
      <w:tblGrid>
        <w:gridCol w:w="1844"/>
        <w:gridCol w:w="4681"/>
        <w:gridCol w:w="2412"/>
        <w:gridCol w:w="993"/>
      </w:tblGrid>
      <w:tr w:rsidR="008941B2" w:rsidRPr="008941B2" w14:paraId="0757FFF0" w14:textId="77777777">
        <w:trPr>
          <w:jc w:val="center"/>
        </w:trPr>
        <w:tc>
          <w:tcPr>
            <w:tcW w:w="1843" w:type="dxa"/>
            <w:hideMark/>
          </w:tcPr>
          <w:p w14:paraId="695894AF" w14:textId="77777777" w:rsidR="008941B2" w:rsidRPr="008941B2" w:rsidRDefault="008941B2" w:rsidP="008941B2">
            <w:pPr>
              <w:ind w:firstLine="0"/>
              <w:rPr>
                <w:rFonts w:ascii="Titillium" w:hAnsi="Titillium"/>
                <w:szCs w:val="22"/>
              </w:rPr>
            </w:pPr>
            <w:r w:rsidRPr="008941B2">
              <w:rPr>
                <w:rFonts w:ascii="Titillium" w:hAnsi="Titillium"/>
                <w:szCs w:val="22"/>
              </w:rPr>
              <w:t>Označení ČR</w:t>
            </w:r>
          </w:p>
        </w:tc>
        <w:tc>
          <w:tcPr>
            <w:tcW w:w="4678" w:type="dxa"/>
            <w:hideMark/>
          </w:tcPr>
          <w:p w14:paraId="064CEECB" w14:textId="77777777" w:rsidR="008941B2" w:rsidRPr="008941B2" w:rsidRDefault="008941B2" w:rsidP="008941B2">
            <w:pPr>
              <w:ind w:firstLine="0"/>
              <w:rPr>
                <w:rFonts w:ascii="Titillium" w:hAnsi="Titillium"/>
                <w:szCs w:val="22"/>
              </w:rPr>
            </w:pPr>
            <w:r w:rsidRPr="008941B2">
              <w:rPr>
                <w:rFonts w:ascii="Titillium" w:hAnsi="Titillium"/>
                <w:szCs w:val="22"/>
              </w:rPr>
              <w:t>Popis – název</w:t>
            </w:r>
          </w:p>
        </w:tc>
        <w:tc>
          <w:tcPr>
            <w:tcW w:w="2410" w:type="dxa"/>
            <w:hideMark/>
          </w:tcPr>
          <w:p w14:paraId="5071A6D4" w14:textId="77777777" w:rsidR="008941B2" w:rsidRPr="008941B2" w:rsidRDefault="008941B2" w:rsidP="008941B2">
            <w:pPr>
              <w:ind w:firstLine="0"/>
              <w:rPr>
                <w:rFonts w:ascii="Titillium" w:hAnsi="Titillium"/>
                <w:szCs w:val="22"/>
              </w:rPr>
            </w:pPr>
            <w:r w:rsidRPr="008941B2">
              <w:rPr>
                <w:rFonts w:ascii="Titillium" w:hAnsi="Titillium"/>
                <w:szCs w:val="22"/>
              </w:rPr>
              <w:t>Označení EU</w:t>
            </w:r>
          </w:p>
        </w:tc>
        <w:tc>
          <w:tcPr>
            <w:tcW w:w="992" w:type="dxa"/>
            <w:hideMark/>
          </w:tcPr>
          <w:p w14:paraId="3319FEFD" w14:textId="77777777" w:rsidR="008941B2" w:rsidRPr="008941B2" w:rsidRDefault="008941B2" w:rsidP="008941B2">
            <w:pPr>
              <w:ind w:firstLine="0"/>
              <w:rPr>
                <w:rFonts w:ascii="Titillium" w:hAnsi="Titillium"/>
                <w:szCs w:val="22"/>
              </w:rPr>
            </w:pPr>
            <w:r w:rsidRPr="008941B2">
              <w:rPr>
                <w:rFonts w:ascii="Titillium" w:hAnsi="Titillium"/>
                <w:szCs w:val="22"/>
              </w:rPr>
              <w:t>EU zkratka</w:t>
            </w:r>
          </w:p>
        </w:tc>
      </w:tr>
      <w:tr w:rsidR="008941B2" w:rsidRPr="008941B2" w14:paraId="2531BF03" w14:textId="77777777">
        <w:trPr>
          <w:jc w:val="center"/>
        </w:trPr>
        <w:tc>
          <w:tcPr>
            <w:tcW w:w="1843" w:type="dxa"/>
            <w:hideMark/>
          </w:tcPr>
          <w:p w14:paraId="56024D5D" w14:textId="77777777" w:rsidR="008941B2" w:rsidRPr="008941B2" w:rsidRDefault="008941B2" w:rsidP="008941B2">
            <w:pPr>
              <w:ind w:firstLine="0"/>
              <w:rPr>
                <w:rFonts w:ascii="Titillium" w:hAnsi="Titillium"/>
                <w:szCs w:val="22"/>
              </w:rPr>
            </w:pPr>
            <w:r w:rsidRPr="008941B2">
              <w:rPr>
                <w:rFonts w:ascii="Titillium" w:hAnsi="Titillium"/>
                <w:szCs w:val="22"/>
              </w:rPr>
              <w:lastRenderedPageBreak/>
              <w:t>Zákon</w:t>
            </w:r>
            <w:r w:rsidRPr="008941B2">
              <w:rPr>
                <w:rFonts w:ascii="Titillium" w:hAnsi="Titillium"/>
                <w:szCs w:val="22"/>
              </w:rPr>
              <w:br/>
              <w:t>č. 102/2001 Sb.</w:t>
            </w:r>
          </w:p>
        </w:tc>
        <w:tc>
          <w:tcPr>
            <w:tcW w:w="4678" w:type="dxa"/>
            <w:hideMark/>
          </w:tcPr>
          <w:p w14:paraId="315EC4F3" w14:textId="77777777" w:rsidR="008941B2" w:rsidRPr="008941B2" w:rsidRDefault="008941B2" w:rsidP="008941B2">
            <w:pPr>
              <w:ind w:firstLine="0"/>
              <w:rPr>
                <w:rFonts w:ascii="Titillium" w:hAnsi="Titillium"/>
                <w:szCs w:val="22"/>
              </w:rPr>
            </w:pPr>
            <w:r w:rsidRPr="008941B2">
              <w:rPr>
                <w:rFonts w:ascii="Titillium" w:hAnsi="Titillium"/>
                <w:szCs w:val="22"/>
              </w:rPr>
              <w:t>o obecné bezpečnosti výrobků a o změně některých zákonů</w:t>
            </w:r>
            <w:r w:rsidRPr="008941B2">
              <w:rPr>
                <w:rFonts w:ascii="Titillium" w:hAnsi="Titillium"/>
                <w:szCs w:val="22"/>
              </w:rPr>
              <w:br/>
              <w:t>(zákon o obecné bezpečnosti výrobků)</w:t>
            </w:r>
          </w:p>
        </w:tc>
        <w:tc>
          <w:tcPr>
            <w:tcW w:w="2410" w:type="dxa"/>
            <w:hideMark/>
          </w:tcPr>
          <w:p w14:paraId="1BB661CA" w14:textId="77777777" w:rsidR="008941B2" w:rsidRPr="008941B2" w:rsidRDefault="008941B2" w:rsidP="008941B2">
            <w:pPr>
              <w:ind w:firstLine="0"/>
              <w:rPr>
                <w:rFonts w:ascii="Titillium" w:hAnsi="Titillium"/>
                <w:szCs w:val="22"/>
              </w:rPr>
            </w:pPr>
            <w:r w:rsidRPr="008941B2">
              <w:rPr>
                <w:rFonts w:ascii="Titillium" w:hAnsi="Titillium"/>
                <w:szCs w:val="22"/>
              </w:rPr>
              <w:t>Směrnice</w:t>
            </w:r>
            <w:r w:rsidRPr="008941B2">
              <w:rPr>
                <w:rFonts w:ascii="Titillium" w:hAnsi="Titillium"/>
                <w:szCs w:val="22"/>
              </w:rPr>
              <w:br/>
              <w:t>2001/95/ES</w:t>
            </w:r>
          </w:p>
        </w:tc>
        <w:tc>
          <w:tcPr>
            <w:tcW w:w="992" w:type="dxa"/>
            <w:hideMark/>
          </w:tcPr>
          <w:p w14:paraId="3ED24F1C" w14:textId="77777777" w:rsidR="008941B2" w:rsidRPr="008941B2" w:rsidRDefault="008941B2" w:rsidP="008941B2">
            <w:pPr>
              <w:ind w:firstLine="0"/>
              <w:rPr>
                <w:rFonts w:ascii="Titillium" w:hAnsi="Titillium"/>
                <w:szCs w:val="22"/>
              </w:rPr>
            </w:pPr>
            <w:r w:rsidRPr="008941B2">
              <w:rPr>
                <w:rFonts w:ascii="Titillium" w:hAnsi="Titillium"/>
                <w:szCs w:val="22"/>
              </w:rPr>
              <w:t>--</w:t>
            </w:r>
          </w:p>
        </w:tc>
      </w:tr>
      <w:tr w:rsidR="008941B2" w:rsidRPr="008941B2" w14:paraId="6D71CAFE" w14:textId="77777777">
        <w:trPr>
          <w:jc w:val="center"/>
        </w:trPr>
        <w:tc>
          <w:tcPr>
            <w:tcW w:w="1843" w:type="dxa"/>
            <w:hideMark/>
          </w:tcPr>
          <w:p w14:paraId="0079A7C4" w14:textId="77777777" w:rsidR="008941B2" w:rsidRPr="008941B2" w:rsidRDefault="008941B2" w:rsidP="008941B2">
            <w:pPr>
              <w:ind w:firstLine="0"/>
              <w:rPr>
                <w:rFonts w:ascii="Titillium" w:hAnsi="Titillium"/>
                <w:szCs w:val="22"/>
              </w:rPr>
            </w:pPr>
            <w:r w:rsidRPr="008941B2">
              <w:rPr>
                <w:rFonts w:ascii="Titillium" w:hAnsi="Titillium"/>
                <w:szCs w:val="22"/>
              </w:rPr>
              <w:t>Zákon</w:t>
            </w:r>
            <w:r w:rsidRPr="008941B2">
              <w:rPr>
                <w:rFonts w:ascii="Titillium" w:hAnsi="Titillium"/>
                <w:szCs w:val="22"/>
              </w:rPr>
              <w:br/>
              <w:t>č. 22/1997 Sb.</w:t>
            </w:r>
          </w:p>
        </w:tc>
        <w:tc>
          <w:tcPr>
            <w:tcW w:w="4678" w:type="dxa"/>
            <w:hideMark/>
          </w:tcPr>
          <w:p w14:paraId="5625BD3A" w14:textId="77777777" w:rsidR="008941B2" w:rsidRPr="008941B2" w:rsidRDefault="008941B2" w:rsidP="008941B2">
            <w:pPr>
              <w:ind w:firstLine="0"/>
              <w:rPr>
                <w:rFonts w:ascii="Titillium" w:hAnsi="Titillium"/>
                <w:szCs w:val="22"/>
              </w:rPr>
            </w:pPr>
            <w:r w:rsidRPr="008941B2">
              <w:rPr>
                <w:rFonts w:ascii="Titillium" w:hAnsi="Titillium"/>
                <w:szCs w:val="22"/>
              </w:rPr>
              <w:t>o technických požadavcích na výrobky a o změně a doplnění některých zákonů</w:t>
            </w:r>
          </w:p>
        </w:tc>
        <w:tc>
          <w:tcPr>
            <w:tcW w:w="2410" w:type="dxa"/>
            <w:hideMark/>
          </w:tcPr>
          <w:p w14:paraId="00D94EAA" w14:textId="77777777" w:rsidR="008941B2" w:rsidRPr="008941B2" w:rsidRDefault="008941B2" w:rsidP="008941B2">
            <w:pPr>
              <w:ind w:firstLine="0"/>
              <w:rPr>
                <w:rFonts w:ascii="Titillium" w:hAnsi="Titillium"/>
                <w:szCs w:val="22"/>
              </w:rPr>
            </w:pPr>
            <w:r w:rsidRPr="008941B2">
              <w:rPr>
                <w:rFonts w:ascii="Titillium" w:hAnsi="Titillium"/>
                <w:szCs w:val="22"/>
              </w:rPr>
              <w:t>Směrnice</w:t>
            </w:r>
            <w:r w:rsidRPr="008941B2">
              <w:rPr>
                <w:rFonts w:ascii="Titillium" w:hAnsi="Titillium"/>
                <w:szCs w:val="22"/>
              </w:rPr>
              <w:br/>
              <w:t>89/209/EEC</w:t>
            </w:r>
          </w:p>
        </w:tc>
        <w:tc>
          <w:tcPr>
            <w:tcW w:w="992" w:type="dxa"/>
            <w:hideMark/>
          </w:tcPr>
          <w:p w14:paraId="2BAB809D" w14:textId="77777777" w:rsidR="008941B2" w:rsidRPr="008941B2" w:rsidRDefault="008941B2" w:rsidP="008941B2">
            <w:pPr>
              <w:ind w:firstLine="0"/>
              <w:rPr>
                <w:rFonts w:ascii="Titillium" w:hAnsi="Titillium"/>
                <w:szCs w:val="22"/>
              </w:rPr>
            </w:pPr>
            <w:r w:rsidRPr="008941B2">
              <w:rPr>
                <w:rFonts w:ascii="Titillium" w:hAnsi="Titillium"/>
                <w:szCs w:val="22"/>
              </w:rPr>
              <w:t>--</w:t>
            </w:r>
          </w:p>
        </w:tc>
      </w:tr>
      <w:tr w:rsidR="008941B2" w:rsidRPr="008941B2" w14:paraId="2FA09EF1" w14:textId="77777777">
        <w:trPr>
          <w:jc w:val="center"/>
        </w:trPr>
        <w:tc>
          <w:tcPr>
            <w:tcW w:w="1843" w:type="dxa"/>
            <w:hideMark/>
          </w:tcPr>
          <w:p w14:paraId="41857450" w14:textId="77777777" w:rsidR="008941B2" w:rsidRPr="008941B2" w:rsidRDefault="008941B2" w:rsidP="008941B2">
            <w:pPr>
              <w:ind w:firstLine="0"/>
              <w:rPr>
                <w:rFonts w:ascii="Titillium" w:hAnsi="Titillium"/>
                <w:szCs w:val="22"/>
              </w:rPr>
            </w:pPr>
            <w:r w:rsidRPr="008941B2">
              <w:rPr>
                <w:rFonts w:ascii="Titillium" w:hAnsi="Titillium"/>
                <w:szCs w:val="22"/>
              </w:rPr>
              <w:t>Zákon</w:t>
            </w:r>
            <w:r w:rsidRPr="008941B2">
              <w:rPr>
                <w:rFonts w:ascii="Titillium" w:hAnsi="Titillium"/>
                <w:szCs w:val="22"/>
              </w:rPr>
              <w:br/>
              <w:t>č. 90/2016 Sb.</w:t>
            </w:r>
          </w:p>
        </w:tc>
        <w:tc>
          <w:tcPr>
            <w:tcW w:w="4678" w:type="dxa"/>
            <w:hideMark/>
          </w:tcPr>
          <w:p w14:paraId="37CBF0DD" w14:textId="77777777" w:rsidR="008941B2" w:rsidRPr="008941B2" w:rsidRDefault="008941B2" w:rsidP="008941B2">
            <w:pPr>
              <w:ind w:firstLine="0"/>
              <w:rPr>
                <w:rFonts w:ascii="Titillium" w:hAnsi="Titillium"/>
                <w:szCs w:val="22"/>
              </w:rPr>
            </w:pPr>
            <w:r w:rsidRPr="008941B2">
              <w:rPr>
                <w:rFonts w:ascii="Titillium" w:hAnsi="Titillium"/>
                <w:szCs w:val="22"/>
              </w:rPr>
              <w:t>o posuzování shody stanovených výrobků při jejich dodávání na trh</w:t>
            </w:r>
          </w:p>
        </w:tc>
        <w:tc>
          <w:tcPr>
            <w:tcW w:w="2410" w:type="dxa"/>
            <w:hideMark/>
          </w:tcPr>
          <w:p w14:paraId="25E412EC" w14:textId="77777777" w:rsidR="008941B2" w:rsidRPr="008941B2" w:rsidRDefault="008941B2" w:rsidP="008941B2">
            <w:pPr>
              <w:ind w:firstLine="0"/>
              <w:rPr>
                <w:rFonts w:ascii="Titillium" w:hAnsi="Titillium"/>
                <w:szCs w:val="22"/>
              </w:rPr>
            </w:pPr>
            <w:r w:rsidRPr="008941B2">
              <w:rPr>
                <w:rFonts w:ascii="Titillium" w:hAnsi="Titillium"/>
                <w:szCs w:val="22"/>
              </w:rPr>
              <w:t>Sektorové směrnice dle zásad nového legislativního rámce</w:t>
            </w:r>
          </w:p>
        </w:tc>
        <w:tc>
          <w:tcPr>
            <w:tcW w:w="992" w:type="dxa"/>
            <w:hideMark/>
          </w:tcPr>
          <w:p w14:paraId="39B6A9E6" w14:textId="77777777" w:rsidR="008941B2" w:rsidRPr="008941B2" w:rsidRDefault="008941B2" w:rsidP="008941B2">
            <w:pPr>
              <w:ind w:firstLine="0"/>
              <w:rPr>
                <w:rFonts w:ascii="Titillium" w:hAnsi="Titillium"/>
                <w:szCs w:val="22"/>
              </w:rPr>
            </w:pPr>
            <w:r w:rsidRPr="008941B2">
              <w:rPr>
                <w:rFonts w:ascii="Titillium" w:hAnsi="Titillium"/>
                <w:szCs w:val="22"/>
              </w:rPr>
              <w:t>--</w:t>
            </w:r>
          </w:p>
        </w:tc>
      </w:tr>
      <w:tr w:rsidR="008941B2" w:rsidRPr="008941B2" w14:paraId="13B52ECC" w14:textId="77777777">
        <w:trPr>
          <w:jc w:val="center"/>
        </w:trPr>
        <w:tc>
          <w:tcPr>
            <w:tcW w:w="1843" w:type="dxa"/>
            <w:hideMark/>
          </w:tcPr>
          <w:p w14:paraId="3FFE5AD8" w14:textId="77777777" w:rsidR="008941B2" w:rsidRPr="008941B2" w:rsidRDefault="008941B2" w:rsidP="008941B2">
            <w:pPr>
              <w:ind w:firstLine="0"/>
              <w:rPr>
                <w:rFonts w:ascii="Titillium" w:hAnsi="Titillium"/>
                <w:szCs w:val="22"/>
              </w:rPr>
            </w:pPr>
            <w:r w:rsidRPr="008941B2">
              <w:rPr>
                <w:rFonts w:ascii="Titillium" w:hAnsi="Titillium"/>
                <w:szCs w:val="22"/>
              </w:rPr>
              <w:t>NV 176/2008 Sb.</w:t>
            </w:r>
          </w:p>
        </w:tc>
        <w:tc>
          <w:tcPr>
            <w:tcW w:w="4678" w:type="dxa"/>
            <w:hideMark/>
          </w:tcPr>
          <w:p w14:paraId="1BEFDB66" w14:textId="77777777" w:rsidR="008941B2" w:rsidRPr="008941B2" w:rsidRDefault="008941B2" w:rsidP="008941B2">
            <w:pPr>
              <w:ind w:firstLine="0"/>
              <w:rPr>
                <w:rFonts w:ascii="Titillium" w:hAnsi="Titillium"/>
                <w:szCs w:val="22"/>
              </w:rPr>
            </w:pPr>
            <w:r w:rsidRPr="008941B2">
              <w:rPr>
                <w:rFonts w:ascii="Titillium" w:hAnsi="Titillium"/>
                <w:szCs w:val="22"/>
              </w:rPr>
              <w:t>o technických požadavcích na strojní zařízení</w:t>
            </w:r>
          </w:p>
        </w:tc>
        <w:tc>
          <w:tcPr>
            <w:tcW w:w="2410" w:type="dxa"/>
            <w:hideMark/>
          </w:tcPr>
          <w:p w14:paraId="5BC0A41B" w14:textId="77777777" w:rsidR="008941B2" w:rsidRPr="008941B2" w:rsidRDefault="008941B2" w:rsidP="008941B2">
            <w:pPr>
              <w:ind w:firstLine="0"/>
              <w:rPr>
                <w:rFonts w:ascii="Titillium" w:hAnsi="Titillium"/>
                <w:szCs w:val="22"/>
              </w:rPr>
            </w:pPr>
            <w:r w:rsidRPr="008941B2">
              <w:rPr>
                <w:rFonts w:ascii="Titillium" w:hAnsi="Titillium"/>
                <w:szCs w:val="22"/>
              </w:rPr>
              <w:t>Směrnice</w:t>
            </w:r>
            <w:r w:rsidRPr="008941B2">
              <w:rPr>
                <w:rFonts w:ascii="Titillium" w:hAnsi="Titillium"/>
                <w:szCs w:val="22"/>
              </w:rPr>
              <w:br/>
              <w:t>2006/42/ES</w:t>
            </w:r>
          </w:p>
        </w:tc>
        <w:tc>
          <w:tcPr>
            <w:tcW w:w="992" w:type="dxa"/>
            <w:hideMark/>
          </w:tcPr>
          <w:p w14:paraId="086487AA" w14:textId="77777777" w:rsidR="008941B2" w:rsidRPr="008941B2" w:rsidRDefault="008941B2" w:rsidP="008941B2">
            <w:pPr>
              <w:ind w:firstLine="0"/>
              <w:rPr>
                <w:rFonts w:ascii="Titillium" w:hAnsi="Titillium"/>
                <w:szCs w:val="22"/>
              </w:rPr>
            </w:pPr>
            <w:r w:rsidRPr="008941B2">
              <w:rPr>
                <w:rFonts w:ascii="Titillium" w:hAnsi="Titillium"/>
                <w:szCs w:val="22"/>
              </w:rPr>
              <w:t>MD</w:t>
            </w:r>
          </w:p>
        </w:tc>
      </w:tr>
      <w:tr w:rsidR="008941B2" w:rsidRPr="008941B2" w14:paraId="03E5E616" w14:textId="77777777">
        <w:trPr>
          <w:jc w:val="center"/>
        </w:trPr>
        <w:tc>
          <w:tcPr>
            <w:tcW w:w="1843" w:type="dxa"/>
            <w:hideMark/>
          </w:tcPr>
          <w:p w14:paraId="28D0F7C4" w14:textId="77777777" w:rsidR="008941B2" w:rsidRPr="008941B2" w:rsidRDefault="008941B2" w:rsidP="008941B2">
            <w:pPr>
              <w:ind w:firstLine="0"/>
              <w:rPr>
                <w:rFonts w:ascii="Titillium" w:hAnsi="Titillium"/>
                <w:szCs w:val="22"/>
              </w:rPr>
            </w:pPr>
            <w:r w:rsidRPr="008941B2">
              <w:rPr>
                <w:rFonts w:ascii="Titillium" w:hAnsi="Titillium"/>
                <w:szCs w:val="22"/>
              </w:rPr>
              <w:t>NV 118/2016 Sb.</w:t>
            </w:r>
          </w:p>
        </w:tc>
        <w:tc>
          <w:tcPr>
            <w:tcW w:w="4678" w:type="dxa"/>
            <w:hideMark/>
          </w:tcPr>
          <w:p w14:paraId="73BDE1C2" w14:textId="77777777" w:rsidR="008941B2" w:rsidRPr="008941B2" w:rsidRDefault="008941B2" w:rsidP="008941B2">
            <w:pPr>
              <w:ind w:firstLine="0"/>
              <w:rPr>
                <w:rFonts w:ascii="Titillium" w:hAnsi="Titillium"/>
                <w:szCs w:val="22"/>
              </w:rPr>
            </w:pPr>
            <w:r w:rsidRPr="008941B2">
              <w:rPr>
                <w:rFonts w:ascii="Titillium" w:hAnsi="Titillium"/>
                <w:szCs w:val="22"/>
              </w:rPr>
              <w:t>o posuzování shody elektrických zařízení určených pro používání v určitých mezích napětí při jejich dodávání na trh</w:t>
            </w:r>
          </w:p>
        </w:tc>
        <w:tc>
          <w:tcPr>
            <w:tcW w:w="2410" w:type="dxa"/>
            <w:hideMark/>
          </w:tcPr>
          <w:p w14:paraId="568ABB39" w14:textId="77777777" w:rsidR="008941B2" w:rsidRPr="008941B2" w:rsidRDefault="008941B2" w:rsidP="008941B2">
            <w:pPr>
              <w:ind w:firstLine="0"/>
              <w:rPr>
                <w:rFonts w:ascii="Titillium" w:hAnsi="Titillium"/>
                <w:szCs w:val="22"/>
              </w:rPr>
            </w:pPr>
            <w:r w:rsidRPr="008941B2">
              <w:rPr>
                <w:rFonts w:ascii="Titillium" w:hAnsi="Titillium"/>
                <w:szCs w:val="22"/>
              </w:rPr>
              <w:t>Směrnice</w:t>
            </w:r>
            <w:r w:rsidRPr="008941B2">
              <w:rPr>
                <w:rFonts w:ascii="Titillium" w:hAnsi="Titillium"/>
                <w:szCs w:val="22"/>
              </w:rPr>
              <w:br/>
              <w:t>2014/35/EU</w:t>
            </w:r>
          </w:p>
        </w:tc>
        <w:tc>
          <w:tcPr>
            <w:tcW w:w="992" w:type="dxa"/>
            <w:hideMark/>
          </w:tcPr>
          <w:p w14:paraId="233D5B57" w14:textId="77777777" w:rsidR="008941B2" w:rsidRPr="008941B2" w:rsidRDefault="008941B2" w:rsidP="008941B2">
            <w:pPr>
              <w:ind w:firstLine="0"/>
              <w:rPr>
                <w:rFonts w:ascii="Titillium" w:hAnsi="Titillium"/>
                <w:szCs w:val="22"/>
              </w:rPr>
            </w:pPr>
            <w:r w:rsidRPr="008941B2">
              <w:rPr>
                <w:rFonts w:ascii="Titillium" w:hAnsi="Titillium"/>
                <w:szCs w:val="22"/>
              </w:rPr>
              <w:t>LVD</w:t>
            </w:r>
          </w:p>
        </w:tc>
      </w:tr>
      <w:tr w:rsidR="008941B2" w:rsidRPr="008941B2" w14:paraId="68DC00FB" w14:textId="77777777">
        <w:trPr>
          <w:jc w:val="center"/>
        </w:trPr>
        <w:tc>
          <w:tcPr>
            <w:tcW w:w="1843" w:type="dxa"/>
            <w:hideMark/>
          </w:tcPr>
          <w:p w14:paraId="25B8866D" w14:textId="77777777" w:rsidR="008941B2" w:rsidRPr="008941B2" w:rsidRDefault="008941B2" w:rsidP="008941B2">
            <w:pPr>
              <w:ind w:firstLine="0"/>
              <w:rPr>
                <w:rFonts w:ascii="Titillium" w:hAnsi="Titillium"/>
                <w:szCs w:val="22"/>
              </w:rPr>
            </w:pPr>
            <w:r w:rsidRPr="008941B2">
              <w:rPr>
                <w:rFonts w:ascii="Titillium" w:hAnsi="Titillium"/>
                <w:szCs w:val="22"/>
              </w:rPr>
              <w:t>NV 117/2016 Sb.</w:t>
            </w:r>
          </w:p>
        </w:tc>
        <w:tc>
          <w:tcPr>
            <w:tcW w:w="4678" w:type="dxa"/>
            <w:hideMark/>
          </w:tcPr>
          <w:p w14:paraId="3309D26C" w14:textId="77777777" w:rsidR="008941B2" w:rsidRPr="008941B2" w:rsidRDefault="008941B2" w:rsidP="008941B2">
            <w:pPr>
              <w:ind w:firstLine="0"/>
              <w:rPr>
                <w:rFonts w:ascii="Titillium" w:hAnsi="Titillium"/>
                <w:szCs w:val="22"/>
              </w:rPr>
            </w:pPr>
            <w:r w:rsidRPr="008941B2">
              <w:rPr>
                <w:rFonts w:ascii="Titillium" w:hAnsi="Titillium"/>
                <w:szCs w:val="22"/>
              </w:rPr>
              <w:t>o posuzování shody výrobků z hlediska elektromagnetické kompatibility při jejich dodávání na trh</w:t>
            </w:r>
          </w:p>
        </w:tc>
        <w:tc>
          <w:tcPr>
            <w:tcW w:w="2410" w:type="dxa"/>
            <w:hideMark/>
          </w:tcPr>
          <w:p w14:paraId="1ADA565F" w14:textId="77777777" w:rsidR="008941B2" w:rsidRPr="008941B2" w:rsidRDefault="008941B2" w:rsidP="008941B2">
            <w:pPr>
              <w:ind w:firstLine="0"/>
              <w:rPr>
                <w:rFonts w:ascii="Titillium" w:hAnsi="Titillium"/>
                <w:szCs w:val="22"/>
              </w:rPr>
            </w:pPr>
            <w:r w:rsidRPr="008941B2">
              <w:rPr>
                <w:rFonts w:ascii="Titillium" w:hAnsi="Titillium"/>
                <w:szCs w:val="22"/>
              </w:rPr>
              <w:t>Směrnice</w:t>
            </w:r>
            <w:r w:rsidRPr="008941B2">
              <w:rPr>
                <w:rFonts w:ascii="Titillium" w:hAnsi="Titillium"/>
                <w:szCs w:val="22"/>
              </w:rPr>
              <w:br/>
              <w:t>2014/30/EU</w:t>
            </w:r>
          </w:p>
        </w:tc>
        <w:tc>
          <w:tcPr>
            <w:tcW w:w="992" w:type="dxa"/>
            <w:hideMark/>
          </w:tcPr>
          <w:p w14:paraId="45304BE2" w14:textId="77777777" w:rsidR="008941B2" w:rsidRPr="008941B2" w:rsidRDefault="008941B2" w:rsidP="008941B2">
            <w:pPr>
              <w:ind w:firstLine="0"/>
              <w:rPr>
                <w:rFonts w:ascii="Titillium" w:hAnsi="Titillium"/>
                <w:szCs w:val="22"/>
              </w:rPr>
            </w:pPr>
            <w:r w:rsidRPr="008941B2">
              <w:rPr>
                <w:rFonts w:ascii="Titillium" w:hAnsi="Titillium"/>
                <w:szCs w:val="22"/>
              </w:rPr>
              <w:t>EMC</w:t>
            </w:r>
          </w:p>
        </w:tc>
      </w:tr>
      <w:tr w:rsidR="008941B2" w:rsidRPr="008941B2" w14:paraId="68AD9394" w14:textId="77777777">
        <w:trPr>
          <w:jc w:val="center"/>
        </w:trPr>
        <w:tc>
          <w:tcPr>
            <w:tcW w:w="1843" w:type="dxa"/>
            <w:hideMark/>
          </w:tcPr>
          <w:p w14:paraId="5B1E7BE4" w14:textId="77777777" w:rsidR="008941B2" w:rsidRPr="008941B2" w:rsidRDefault="008941B2" w:rsidP="008941B2">
            <w:pPr>
              <w:ind w:firstLine="0"/>
              <w:rPr>
                <w:rFonts w:ascii="Titillium" w:hAnsi="Titillium"/>
                <w:szCs w:val="22"/>
              </w:rPr>
            </w:pPr>
            <w:r w:rsidRPr="008941B2">
              <w:rPr>
                <w:rFonts w:ascii="Titillium" w:hAnsi="Titillium"/>
                <w:szCs w:val="22"/>
              </w:rPr>
              <w:t>Vyhláška</w:t>
            </w:r>
            <w:r w:rsidRPr="008941B2">
              <w:rPr>
                <w:rFonts w:ascii="Titillium" w:hAnsi="Titillium"/>
                <w:szCs w:val="22"/>
              </w:rPr>
              <w:br/>
              <w:t>č. 19/1979 Sb.</w:t>
            </w:r>
          </w:p>
        </w:tc>
        <w:tc>
          <w:tcPr>
            <w:tcW w:w="4678" w:type="dxa"/>
            <w:hideMark/>
          </w:tcPr>
          <w:p w14:paraId="3B83CA72" w14:textId="77777777" w:rsidR="008941B2" w:rsidRPr="008941B2" w:rsidRDefault="008941B2" w:rsidP="008941B2">
            <w:pPr>
              <w:ind w:firstLine="0"/>
              <w:rPr>
                <w:rFonts w:ascii="Titillium" w:hAnsi="Titillium"/>
                <w:szCs w:val="22"/>
              </w:rPr>
            </w:pPr>
            <w:r w:rsidRPr="008941B2">
              <w:rPr>
                <w:rFonts w:ascii="Titillium" w:hAnsi="Titillium"/>
                <w:szCs w:val="22"/>
              </w:rPr>
              <w:t>kterou se určují vyhrazená zdvihací zařízení a stanoví některé podmínky k zajištění jejich bezpečnosti</w:t>
            </w:r>
          </w:p>
        </w:tc>
        <w:tc>
          <w:tcPr>
            <w:tcW w:w="2410" w:type="dxa"/>
            <w:hideMark/>
          </w:tcPr>
          <w:p w14:paraId="49FA517A" w14:textId="77777777" w:rsidR="008941B2" w:rsidRPr="008941B2" w:rsidRDefault="008941B2" w:rsidP="008941B2">
            <w:pPr>
              <w:ind w:firstLine="0"/>
              <w:rPr>
                <w:rFonts w:ascii="Titillium" w:hAnsi="Titillium"/>
                <w:szCs w:val="22"/>
              </w:rPr>
            </w:pPr>
            <w:r w:rsidRPr="008941B2">
              <w:rPr>
                <w:rFonts w:ascii="Titillium" w:hAnsi="Titillium"/>
                <w:szCs w:val="22"/>
              </w:rPr>
              <w:t>--</w:t>
            </w:r>
          </w:p>
        </w:tc>
        <w:tc>
          <w:tcPr>
            <w:tcW w:w="992" w:type="dxa"/>
          </w:tcPr>
          <w:p w14:paraId="23149BE6" w14:textId="77777777" w:rsidR="008941B2" w:rsidRPr="008941B2" w:rsidRDefault="008941B2" w:rsidP="008941B2">
            <w:pPr>
              <w:ind w:firstLine="0"/>
              <w:rPr>
                <w:rFonts w:ascii="Titillium" w:hAnsi="Titillium"/>
                <w:szCs w:val="22"/>
              </w:rPr>
            </w:pPr>
          </w:p>
        </w:tc>
      </w:tr>
      <w:tr w:rsidR="008941B2" w:rsidRPr="008941B2" w14:paraId="153AED83" w14:textId="77777777">
        <w:trPr>
          <w:jc w:val="center"/>
        </w:trPr>
        <w:tc>
          <w:tcPr>
            <w:tcW w:w="1843" w:type="dxa"/>
            <w:hideMark/>
          </w:tcPr>
          <w:p w14:paraId="66038A7A" w14:textId="77777777" w:rsidR="008941B2" w:rsidRPr="008941B2" w:rsidRDefault="008941B2" w:rsidP="008941B2">
            <w:pPr>
              <w:ind w:firstLine="0"/>
              <w:rPr>
                <w:rFonts w:ascii="Titillium" w:hAnsi="Titillium"/>
                <w:szCs w:val="22"/>
              </w:rPr>
            </w:pPr>
            <w:r w:rsidRPr="008941B2">
              <w:rPr>
                <w:rFonts w:ascii="Titillium" w:hAnsi="Titillium"/>
                <w:szCs w:val="22"/>
              </w:rPr>
              <w:t>Vyhláška</w:t>
            </w:r>
            <w:r w:rsidRPr="008941B2">
              <w:rPr>
                <w:rFonts w:ascii="Titillium" w:hAnsi="Titillium"/>
                <w:szCs w:val="22"/>
              </w:rPr>
              <w:br/>
              <w:t>č. 73/2010 Sb.</w:t>
            </w:r>
          </w:p>
        </w:tc>
        <w:tc>
          <w:tcPr>
            <w:tcW w:w="4678" w:type="dxa"/>
            <w:hideMark/>
          </w:tcPr>
          <w:p w14:paraId="30E451DF" w14:textId="77777777" w:rsidR="008941B2" w:rsidRPr="008941B2" w:rsidRDefault="008941B2" w:rsidP="008941B2">
            <w:pPr>
              <w:ind w:firstLine="0"/>
              <w:rPr>
                <w:rFonts w:ascii="Titillium" w:hAnsi="Titillium"/>
                <w:szCs w:val="22"/>
              </w:rPr>
            </w:pPr>
            <w:r w:rsidRPr="008941B2">
              <w:rPr>
                <w:rFonts w:ascii="Titillium" w:hAnsi="Titillium"/>
                <w:szCs w:val="22"/>
              </w:rPr>
              <w:t>O stanovení vyhrazených elektrických technických zařízení, jejich zařazení do tříd a skupin a o bližších podmínkách jejich bezpečnosti (vyhláška o vyhrazených elektrických technických zařízeních)</w:t>
            </w:r>
          </w:p>
        </w:tc>
        <w:tc>
          <w:tcPr>
            <w:tcW w:w="2410" w:type="dxa"/>
            <w:hideMark/>
          </w:tcPr>
          <w:p w14:paraId="4225B2E6" w14:textId="77777777" w:rsidR="008941B2" w:rsidRPr="008941B2" w:rsidRDefault="008941B2" w:rsidP="008941B2">
            <w:pPr>
              <w:ind w:firstLine="0"/>
              <w:rPr>
                <w:rFonts w:ascii="Titillium" w:hAnsi="Titillium"/>
                <w:szCs w:val="22"/>
              </w:rPr>
            </w:pPr>
            <w:r w:rsidRPr="008941B2">
              <w:rPr>
                <w:rFonts w:ascii="Titillium" w:hAnsi="Titillium"/>
                <w:szCs w:val="22"/>
              </w:rPr>
              <w:t>--</w:t>
            </w:r>
          </w:p>
        </w:tc>
        <w:tc>
          <w:tcPr>
            <w:tcW w:w="992" w:type="dxa"/>
          </w:tcPr>
          <w:p w14:paraId="3B4D080F" w14:textId="77777777" w:rsidR="008941B2" w:rsidRPr="008941B2" w:rsidRDefault="008941B2" w:rsidP="008941B2">
            <w:pPr>
              <w:ind w:firstLine="0"/>
              <w:rPr>
                <w:rFonts w:ascii="Titillium" w:hAnsi="Titillium"/>
                <w:szCs w:val="22"/>
              </w:rPr>
            </w:pPr>
          </w:p>
        </w:tc>
      </w:tr>
    </w:tbl>
    <w:p w14:paraId="10B667B3" w14:textId="77777777" w:rsidR="008941B2" w:rsidRPr="008941B2" w:rsidRDefault="008941B2" w:rsidP="008941B2">
      <w:pPr>
        <w:ind w:firstLine="0"/>
        <w:rPr>
          <w:rFonts w:ascii="Titillium" w:hAnsi="Titillium"/>
          <w:szCs w:val="22"/>
        </w:rPr>
        <w:sectPr w:rsidR="008941B2" w:rsidRPr="008941B2" w:rsidSect="008941B2">
          <w:pgSz w:w="11906" w:h="16838"/>
          <w:pgMar w:top="1134" w:right="1134" w:bottom="1134" w:left="1134" w:header="284" w:footer="284" w:gutter="0"/>
          <w:cols w:space="708"/>
          <w:formProt w:val="0"/>
          <w:docGrid w:linePitch="299"/>
        </w:sectPr>
      </w:pPr>
    </w:p>
    <w:p w14:paraId="40B4FED7" w14:textId="77777777" w:rsidR="008941B2" w:rsidRPr="008941B2" w:rsidRDefault="008941B2" w:rsidP="008941B2">
      <w:pPr>
        <w:tabs>
          <w:tab w:val="num" w:pos="1134"/>
        </w:tabs>
        <w:ind w:firstLine="0"/>
        <w:rPr>
          <w:rFonts w:ascii="Titillium" w:hAnsi="Titillium"/>
          <w:b/>
          <w:bCs/>
          <w:szCs w:val="22"/>
        </w:rPr>
      </w:pPr>
      <w:r w:rsidRPr="008941B2">
        <w:rPr>
          <w:rFonts w:ascii="Titillium" w:hAnsi="Titillium"/>
          <w:b/>
          <w:bCs/>
          <w:szCs w:val="22"/>
        </w:rPr>
        <w:lastRenderedPageBreak/>
        <w:t>Doporučené technické normy</w:t>
      </w:r>
    </w:p>
    <w:p w14:paraId="7AA15C83" w14:textId="77777777" w:rsidR="008941B2" w:rsidRPr="008941B2" w:rsidRDefault="008941B2" w:rsidP="008941B2">
      <w:pPr>
        <w:ind w:firstLine="0"/>
        <w:rPr>
          <w:rFonts w:ascii="Titillium" w:hAnsi="Titillium"/>
          <w:szCs w:val="22"/>
        </w:rPr>
      </w:pPr>
      <w:r w:rsidRPr="008941B2">
        <w:rPr>
          <w:rFonts w:ascii="Titillium" w:hAnsi="Titillium"/>
          <w:szCs w:val="22"/>
        </w:rPr>
        <w:t>K</w:t>
      </w:r>
      <w:r w:rsidRPr="008941B2">
        <w:rPr>
          <w:rFonts w:ascii="Calibri" w:hAnsi="Calibri" w:cs="Calibri"/>
          <w:szCs w:val="22"/>
        </w:rPr>
        <w:t> </w:t>
      </w:r>
      <w:r w:rsidRPr="008941B2">
        <w:rPr>
          <w:rFonts w:ascii="Titillium" w:hAnsi="Titillium"/>
          <w:szCs w:val="22"/>
        </w:rPr>
        <w:t>napln</w:t>
      </w:r>
      <w:r w:rsidRPr="008941B2">
        <w:rPr>
          <w:rFonts w:ascii="Titillium" w:hAnsi="Titillium" w:cs="Titillium"/>
          <w:szCs w:val="22"/>
        </w:rPr>
        <w:t>ě</w:t>
      </w:r>
      <w:r w:rsidRPr="008941B2">
        <w:rPr>
          <w:rFonts w:ascii="Titillium" w:hAnsi="Titillium"/>
          <w:szCs w:val="22"/>
        </w:rPr>
        <w:t>n</w:t>
      </w:r>
      <w:r w:rsidRPr="008941B2">
        <w:rPr>
          <w:rFonts w:ascii="Titillium" w:hAnsi="Titillium" w:cs="Titillium"/>
          <w:szCs w:val="22"/>
        </w:rPr>
        <w:t>í</w:t>
      </w:r>
      <w:r w:rsidRPr="008941B2">
        <w:rPr>
          <w:rFonts w:ascii="Titillium" w:hAnsi="Titillium"/>
          <w:szCs w:val="22"/>
        </w:rPr>
        <w:t xml:space="preserve"> legislativn</w:t>
      </w:r>
      <w:r w:rsidRPr="008941B2">
        <w:rPr>
          <w:rFonts w:ascii="Titillium" w:hAnsi="Titillium" w:cs="Titillium"/>
          <w:szCs w:val="22"/>
        </w:rPr>
        <w:t>í</w:t>
      </w:r>
      <w:r w:rsidRPr="008941B2">
        <w:rPr>
          <w:rFonts w:ascii="Titillium" w:hAnsi="Titillium"/>
          <w:szCs w:val="22"/>
        </w:rPr>
        <w:t>ho r</w:t>
      </w:r>
      <w:r w:rsidRPr="008941B2">
        <w:rPr>
          <w:rFonts w:ascii="Titillium" w:hAnsi="Titillium" w:cs="Titillium"/>
          <w:szCs w:val="22"/>
        </w:rPr>
        <w:t>á</w:t>
      </w:r>
      <w:r w:rsidRPr="008941B2">
        <w:rPr>
          <w:rFonts w:ascii="Titillium" w:hAnsi="Titillium"/>
          <w:szCs w:val="22"/>
        </w:rPr>
        <w:t>mce se doporu</w:t>
      </w:r>
      <w:r w:rsidRPr="008941B2">
        <w:rPr>
          <w:rFonts w:ascii="Titillium" w:hAnsi="Titillium" w:cs="Titillium"/>
          <w:szCs w:val="22"/>
        </w:rPr>
        <w:t>č</w:t>
      </w:r>
      <w:r w:rsidRPr="008941B2">
        <w:rPr>
          <w:rFonts w:ascii="Titillium" w:hAnsi="Titillium"/>
          <w:szCs w:val="22"/>
        </w:rPr>
        <w:t>uje pou</w:t>
      </w:r>
      <w:r w:rsidRPr="008941B2">
        <w:rPr>
          <w:rFonts w:ascii="Titillium" w:hAnsi="Titillium" w:cs="Titillium"/>
          <w:szCs w:val="22"/>
        </w:rPr>
        <w:t>ž</w:t>
      </w:r>
      <w:r w:rsidRPr="008941B2">
        <w:rPr>
          <w:rFonts w:ascii="Titillium" w:hAnsi="Titillium"/>
          <w:szCs w:val="22"/>
        </w:rPr>
        <w:t>it</w:t>
      </w:r>
      <w:r w:rsidRPr="008941B2">
        <w:rPr>
          <w:rFonts w:ascii="Titillium" w:hAnsi="Titillium" w:cs="Titillium"/>
          <w:szCs w:val="22"/>
        </w:rPr>
        <w:t>í</w:t>
      </w:r>
      <w:r w:rsidRPr="008941B2">
        <w:rPr>
          <w:rFonts w:ascii="Titillium" w:hAnsi="Titillium"/>
          <w:szCs w:val="22"/>
        </w:rPr>
        <w:t xml:space="preserve"> zejm</w:t>
      </w:r>
      <w:r w:rsidRPr="008941B2">
        <w:rPr>
          <w:rFonts w:ascii="Titillium" w:hAnsi="Titillium" w:cs="Titillium"/>
          <w:szCs w:val="22"/>
        </w:rPr>
        <w:t>é</w:t>
      </w:r>
      <w:r w:rsidRPr="008941B2">
        <w:rPr>
          <w:rFonts w:ascii="Titillium" w:hAnsi="Titillium"/>
          <w:szCs w:val="22"/>
        </w:rPr>
        <w:t>na n</w:t>
      </w:r>
      <w:r w:rsidRPr="008941B2">
        <w:rPr>
          <w:rFonts w:ascii="Titillium" w:hAnsi="Titillium" w:cs="Titillium"/>
          <w:szCs w:val="22"/>
        </w:rPr>
        <w:t>á</w:t>
      </w:r>
      <w:r w:rsidRPr="008941B2">
        <w:rPr>
          <w:rFonts w:ascii="Titillium" w:hAnsi="Titillium"/>
          <w:szCs w:val="22"/>
        </w:rPr>
        <w:t>sleduj</w:t>
      </w:r>
      <w:r w:rsidRPr="008941B2">
        <w:rPr>
          <w:rFonts w:ascii="Titillium" w:hAnsi="Titillium" w:cs="Titillium"/>
          <w:szCs w:val="22"/>
        </w:rPr>
        <w:t>í</w:t>
      </w:r>
      <w:r w:rsidRPr="008941B2">
        <w:rPr>
          <w:rFonts w:ascii="Titillium" w:hAnsi="Titillium"/>
          <w:szCs w:val="22"/>
        </w:rPr>
        <w:t>c</w:t>
      </w:r>
      <w:r w:rsidRPr="008941B2">
        <w:rPr>
          <w:rFonts w:ascii="Titillium" w:hAnsi="Titillium" w:cs="Titillium"/>
          <w:szCs w:val="22"/>
        </w:rPr>
        <w:t>í</w:t>
      </w:r>
      <w:r w:rsidRPr="008941B2">
        <w:rPr>
          <w:rFonts w:ascii="Titillium" w:hAnsi="Titillium"/>
          <w:szCs w:val="22"/>
        </w:rPr>
        <w:t>ch technick</w:t>
      </w:r>
      <w:r w:rsidRPr="008941B2">
        <w:rPr>
          <w:rFonts w:ascii="Titillium" w:hAnsi="Titillium" w:cs="Titillium"/>
          <w:szCs w:val="22"/>
        </w:rPr>
        <w:t>ý</w:t>
      </w:r>
      <w:r w:rsidRPr="008941B2">
        <w:rPr>
          <w:rFonts w:ascii="Titillium" w:hAnsi="Titillium"/>
          <w:szCs w:val="22"/>
        </w:rPr>
        <w:t>ch norem:</w:t>
      </w:r>
    </w:p>
    <w:tbl>
      <w:tblPr>
        <w:tblStyle w:val="Mkatabulky"/>
        <w:tblW w:w="0" w:type="auto"/>
        <w:tblInd w:w="250" w:type="dxa"/>
        <w:tblLook w:val="04A0" w:firstRow="1" w:lastRow="0" w:firstColumn="1" w:lastColumn="0" w:noHBand="0" w:noVBand="1"/>
      </w:tblPr>
      <w:tblGrid>
        <w:gridCol w:w="2485"/>
        <w:gridCol w:w="7175"/>
      </w:tblGrid>
      <w:tr w:rsidR="008941B2" w:rsidRPr="008941B2" w14:paraId="65B0FF90" w14:textId="77777777">
        <w:tc>
          <w:tcPr>
            <w:tcW w:w="2585" w:type="dxa"/>
            <w:hideMark/>
          </w:tcPr>
          <w:p w14:paraId="1B6708B3" w14:textId="77777777" w:rsidR="008941B2" w:rsidRPr="008941B2" w:rsidRDefault="008941B2" w:rsidP="008941B2">
            <w:pPr>
              <w:ind w:firstLine="0"/>
              <w:rPr>
                <w:rFonts w:ascii="Titillium" w:hAnsi="Titillium"/>
                <w:szCs w:val="22"/>
              </w:rPr>
            </w:pPr>
            <w:r w:rsidRPr="008941B2">
              <w:rPr>
                <w:rFonts w:ascii="Titillium" w:hAnsi="Titillium"/>
                <w:szCs w:val="22"/>
              </w:rPr>
              <w:t>ČSN EN 17206</w:t>
            </w:r>
          </w:p>
        </w:tc>
        <w:tc>
          <w:tcPr>
            <w:tcW w:w="7338" w:type="dxa"/>
            <w:hideMark/>
          </w:tcPr>
          <w:p w14:paraId="5AC57F49" w14:textId="77777777" w:rsidR="008941B2" w:rsidRPr="008941B2" w:rsidRDefault="008941B2" w:rsidP="008941B2">
            <w:pPr>
              <w:ind w:firstLine="0"/>
              <w:rPr>
                <w:rFonts w:ascii="Titillium" w:hAnsi="Titillium"/>
                <w:szCs w:val="22"/>
              </w:rPr>
            </w:pPr>
            <w:r w:rsidRPr="008941B2">
              <w:rPr>
                <w:rFonts w:ascii="Titillium" w:hAnsi="Titillium"/>
                <w:szCs w:val="22"/>
              </w:rPr>
              <w:t>Zábavní technika – Stroje pro jevištní a jiné zábavní oblasti – Bezpečnostní požadavky a kontrola</w:t>
            </w:r>
          </w:p>
        </w:tc>
      </w:tr>
      <w:tr w:rsidR="008941B2" w:rsidRPr="008941B2" w14:paraId="2055DFAC" w14:textId="77777777">
        <w:tc>
          <w:tcPr>
            <w:tcW w:w="2585" w:type="dxa"/>
            <w:hideMark/>
          </w:tcPr>
          <w:p w14:paraId="524934AB"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60204-1 </w:t>
            </w:r>
            <w:proofErr w:type="spellStart"/>
            <w:r w:rsidRPr="008941B2">
              <w:rPr>
                <w:rFonts w:ascii="Titillium" w:hAnsi="Titillium"/>
                <w:szCs w:val="22"/>
              </w:rPr>
              <w:t>ed</w:t>
            </w:r>
            <w:proofErr w:type="spellEnd"/>
            <w:r w:rsidRPr="008941B2">
              <w:rPr>
                <w:rFonts w:ascii="Titillium" w:hAnsi="Titillium"/>
                <w:szCs w:val="22"/>
              </w:rPr>
              <w:t>. 3</w:t>
            </w:r>
          </w:p>
        </w:tc>
        <w:tc>
          <w:tcPr>
            <w:tcW w:w="7338" w:type="dxa"/>
            <w:hideMark/>
          </w:tcPr>
          <w:p w14:paraId="5D76598A" w14:textId="77777777" w:rsidR="008941B2" w:rsidRPr="008941B2" w:rsidRDefault="008941B2" w:rsidP="008941B2">
            <w:pPr>
              <w:ind w:firstLine="0"/>
              <w:rPr>
                <w:rFonts w:ascii="Titillium" w:hAnsi="Titillium"/>
                <w:szCs w:val="22"/>
              </w:rPr>
            </w:pPr>
            <w:r w:rsidRPr="008941B2">
              <w:rPr>
                <w:rFonts w:ascii="Titillium" w:hAnsi="Titillium"/>
                <w:szCs w:val="22"/>
              </w:rPr>
              <w:t>Bezpečnost strojních zařízení – Elektrická zařízení strojů – Část 1: Obecné požadavky</w:t>
            </w:r>
          </w:p>
        </w:tc>
      </w:tr>
      <w:tr w:rsidR="008941B2" w:rsidRPr="008941B2" w14:paraId="50735BC3" w14:textId="77777777">
        <w:tc>
          <w:tcPr>
            <w:tcW w:w="2585" w:type="dxa"/>
            <w:hideMark/>
          </w:tcPr>
          <w:p w14:paraId="1972897A"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60204-32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5A10C571" w14:textId="77777777" w:rsidR="008941B2" w:rsidRPr="008941B2" w:rsidRDefault="008941B2" w:rsidP="008941B2">
            <w:pPr>
              <w:ind w:firstLine="0"/>
              <w:rPr>
                <w:rFonts w:ascii="Titillium" w:hAnsi="Titillium"/>
                <w:szCs w:val="22"/>
              </w:rPr>
            </w:pPr>
            <w:r w:rsidRPr="008941B2">
              <w:rPr>
                <w:rFonts w:ascii="Titillium" w:hAnsi="Titillium"/>
                <w:szCs w:val="22"/>
              </w:rPr>
              <w:t>Bezpečnost strojních zařízení – Elektrická zařízení strojů – Část 32: Požadavky na elektrická zařízení zdvihacích strojů</w:t>
            </w:r>
          </w:p>
        </w:tc>
      </w:tr>
      <w:tr w:rsidR="008941B2" w:rsidRPr="008941B2" w14:paraId="2007F246" w14:textId="77777777">
        <w:tc>
          <w:tcPr>
            <w:tcW w:w="2585" w:type="dxa"/>
            <w:hideMark/>
          </w:tcPr>
          <w:p w14:paraId="74942E44"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33 2000-4-41 </w:t>
            </w:r>
            <w:proofErr w:type="spellStart"/>
            <w:r w:rsidRPr="008941B2">
              <w:rPr>
                <w:rFonts w:ascii="Titillium" w:hAnsi="Titillium"/>
                <w:szCs w:val="22"/>
              </w:rPr>
              <w:t>ed</w:t>
            </w:r>
            <w:proofErr w:type="spellEnd"/>
            <w:r w:rsidRPr="008941B2">
              <w:rPr>
                <w:rFonts w:ascii="Titillium" w:hAnsi="Titillium"/>
                <w:szCs w:val="22"/>
              </w:rPr>
              <w:t>. 3</w:t>
            </w:r>
          </w:p>
        </w:tc>
        <w:tc>
          <w:tcPr>
            <w:tcW w:w="7338" w:type="dxa"/>
            <w:hideMark/>
          </w:tcPr>
          <w:p w14:paraId="73BFCC27" w14:textId="77777777" w:rsidR="008941B2" w:rsidRPr="008941B2" w:rsidRDefault="008941B2" w:rsidP="008941B2">
            <w:pPr>
              <w:ind w:firstLine="0"/>
              <w:rPr>
                <w:rFonts w:ascii="Titillium" w:hAnsi="Titillium"/>
                <w:szCs w:val="22"/>
              </w:rPr>
            </w:pPr>
            <w:r w:rsidRPr="008941B2">
              <w:rPr>
                <w:rFonts w:ascii="Titillium" w:hAnsi="Titillium"/>
                <w:szCs w:val="22"/>
              </w:rPr>
              <w:t>Elektrické instalace nízkého napětí – Část 4-41: Ochranná opatření pro zajištění bezpečnosti – Ochrana před úrazem elektrickým proudem</w:t>
            </w:r>
          </w:p>
        </w:tc>
      </w:tr>
      <w:tr w:rsidR="008941B2" w:rsidRPr="008941B2" w14:paraId="1D79DDD2" w14:textId="77777777">
        <w:tc>
          <w:tcPr>
            <w:tcW w:w="2585" w:type="dxa"/>
            <w:hideMark/>
          </w:tcPr>
          <w:p w14:paraId="6BE635E1" w14:textId="77777777" w:rsidR="008941B2" w:rsidRPr="008941B2" w:rsidRDefault="008941B2" w:rsidP="008941B2">
            <w:pPr>
              <w:ind w:firstLine="0"/>
              <w:rPr>
                <w:rFonts w:ascii="Titillium" w:hAnsi="Titillium"/>
                <w:szCs w:val="22"/>
              </w:rPr>
            </w:pPr>
            <w:r w:rsidRPr="008941B2">
              <w:rPr>
                <w:rFonts w:ascii="Titillium" w:hAnsi="Titillium"/>
                <w:szCs w:val="22"/>
              </w:rPr>
              <w:t>ČSN EN ISO 13849-1</w:t>
            </w:r>
          </w:p>
        </w:tc>
        <w:tc>
          <w:tcPr>
            <w:tcW w:w="7338" w:type="dxa"/>
            <w:hideMark/>
          </w:tcPr>
          <w:p w14:paraId="79ADD965" w14:textId="77777777" w:rsidR="008941B2" w:rsidRPr="008941B2" w:rsidRDefault="008941B2" w:rsidP="008941B2">
            <w:pPr>
              <w:ind w:firstLine="0"/>
              <w:rPr>
                <w:rFonts w:ascii="Titillium" w:hAnsi="Titillium"/>
                <w:szCs w:val="22"/>
              </w:rPr>
            </w:pPr>
            <w:r w:rsidRPr="008941B2">
              <w:rPr>
                <w:rFonts w:ascii="Titillium" w:hAnsi="Titillium"/>
                <w:szCs w:val="22"/>
              </w:rPr>
              <w:t>Bezpečnost strojních zařízení – Bezpečnostní části ovládacích systémů – Část 1: Všeobecné zásady pro konstrukci</w:t>
            </w:r>
          </w:p>
        </w:tc>
      </w:tr>
      <w:tr w:rsidR="008941B2" w:rsidRPr="008941B2" w14:paraId="33825E67" w14:textId="77777777">
        <w:tc>
          <w:tcPr>
            <w:tcW w:w="2585" w:type="dxa"/>
            <w:hideMark/>
          </w:tcPr>
          <w:p w14:paraId="673F8AF1" w14:textId="77777777" w:rsidR="008941B2" w:rsidRPr="008941B2" w:rsidRDefault="008941B2" w:rsidP="008941B2">
            <w:pPr>
              <w:ind w:firstLine="0"/>
              <w:rPr>
                <w:rFonts w:ascii="Titillium" w:hAnsi="Titillium"/>
                <w:szCs w:val="22"/>
              </w:rPr>
            </w:pPr>
            <w:r w:rsidRPr="008941B2">
              <w:rPr>
                <w:rFonts w:ascii="Titillium" w:hAnsi="Titillium"/>
                <w:szCs w:val="22"/>
              </w:rPr>
              <w:t>ČSN EN ISO 13849-2</w:t>
            </w:r>
          </w:p>
        </w:tc>
        <w:tc>
          <w:tcPr>
            <w:tcW w:w="7338" w:type="dxa"/>
            <w:hideMark/>
          </w:tcPr>
          <w:p w14:paraId="0BC22E99" w14:textId="77777777" w:rsidR="008941B2" w:rsidRPr="008941B2" w:rsidRDefault="008941B2" w:rsidP="008941B2">
            <w:pPr>
              <w:ind w:firstLine="0"/>
              <w:rPr>
                <w:rFonts w:ascii="Titillium" w:hAnsi="Titillium"/>
                <w:szCs w:val="22"/>
              </w:rPr>
            </w:pPr>
            <w:r w:rsidRPr="008941B2">
              <w:rPr>
                <w:rFonts w:ascii="Titillium" w:hAnsi="Titillium"/>
                <w:szCs w:val="22"/>
              </w:rPr>
              <w:t>Bezpečnost strojních zařízení – Bezpečnostní části ovládacích systémů – Část 2: Ověřování platnosti</w:t>
            </w:r>
          </w:p>
        </w:tc>
      </w:tr>
      <w:tr w:rsidR="008941B2" w:rsidRPr="008941B2" w14:paraId="64505AC3" w14:textId="77777777">
        <w:tc>
          <w:tcPr>
            <w:tcW w:w="2585" w:type="dxa"/>
            <w:hideMark/>
          </w:tcPr>
          <w:p w14:paraId="2B6C5F73"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61508-1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779683EF" w14:textId="77777777" w:rsidR="008941B2" w:rsidRPr="008941B2" w:rsidRDefault="008941B2" w:rsidP="008941B2">
            <w:pPr>
              <w:ind w:firstLine="0"/>
              <w:rPr>
                <w:rFonts w:ascii="Titillium" w:hAnsi="Titillium"/>
                <w:szCs w:val="22"/>
              </w:rPr>
            </w:pPr>
            <w:r w:rsidRPr="008941B2">
              <w:rPr>
                <w:rFonts w:ascii="Titillium" w:hAnsi="Titillium"/>
                <w:szCs w:val="22"/>
              </w:rPr>
              <w:t>Funkční bezpečnost elektrických/elektronických/programovatelných elektronických systémů souvisejících s bezpečností – Část 1: Všeobecné požadavky</w:t>
            </w:r>
          </w:p>
        </w:tc>
      </w:tr>
      <w:tr w:rsidR="008941B2" w:rsidRPr="008941B2" w14:paraId="43931BC7" w14:textId="77777777">
        <w:tc>
          <w:tcPr>
            <w:tcW w:w="2585" w:type="dxa"/>
            <w:hideMark/>
          </w:tcPr>
          <w:p w14:paraId="79B6DD41"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61508-2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7752EE76" w14:textId="77777777" w:rsidR="008941B2" w:rsidRPr="008941B2" w:rsidRDefault="008941B2" w:rsidP="008941B2">
            <w:pPr>
              <w:ind w:firstLine="0"/>
              <w:rPr>
                <w:rFonts w:ascii="Titillium" w:hAnsi="Titillium"/>
                <w:szCs w:val="22"/>
              </w:rPr>
            </w:pPr>
            <w:r w:rsidRPr="008941B2">
              <w:rPr>
                <w:rFonts w:ascii="Titillium" w:hAnsi="Titillium"/>
                <w:szCs w:val="22"/>
              </w:rPr>
              <w:t>Funkční bezpečnost elektrických/elektronických/programovatelných elektronických systémů souvisejících s bezpečností – Část 2: Požadavky na elektrické/elektronické/programovatelné elektronické systémy související s bezpečností</w:t>
            </w:r>
          </w:p>
        </w:tc>
      </w:tr>
      <w:tr w:rsidR="008941B2" w:rsidRPr="008941B2" w14:paraId="582895D9" w14:textId="77777777">
        <w:tc>
          <w:tcPr>
            <w:tcW w:w="2585" w:type="dxa"/>
            <w:hideMark/>
          </w:tcPr>
          <w:p w14:paraId="7D9D8552"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61508-3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1F108770" w14:textId="77777777" w:rsidR="008941B2" w:rsidRPr="008941B2" w:rsidRDefault="008941B2" w:rsidP="008941B2">
            <w:pPr>
              <w:ind w:firstLine="0"/>
              <w:rPr>
                <w:rFonts w:ascii="Titillium" w:hAnsi="Titillium"/>
                <w:szCs w:val="22"/>
              </w:rPr>
            </w:pPr>
            <w:r w:rsidRPr="008941B2">
              <w:rPr>
                <w:rFonts w:ascii="Titillium" w:hAnsi="Titillium"/>
                <w:szCs w:val="22"/>
              </w:rPr>
              <w:t>Funkční bezpečnost elektrických/elektronických/programovatelných elektronických systémů souvisejících s bezpečností – Část 3: Požadavky na software</w:t>
            </w:r>
          </w:p>
        </w:tc>
      </w:tr>
      <w:tr w:rsidR="008941B2" w:rsidRPr="008941B2" w14:paraId="1E9C172A" w14:textId="77777777">
        <w:tc>
          <w:tcPr>
            <w:tcW w:w="2585" w:type="dxa"/>
            <w:hideMark/>
          </w:tcPr>
          <w:p w14:paraId="28098E95"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61508-4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11AFC16C" w14:textId="77777777" w:rsidR="008941B2" w:rsidRPr="008941B2" w:rsidRDefault="008941B2" w:rsidP="008941B2">
            <w:pPr>
              <w:ind w:firstLine="0"/>
              <w:rPr>
                <w:rFonts w:ascii="Titillium" w:hAnsi="Titillium"/>
                <w:szCs w:val="22"/>
              </w:rPr>
            </w:pPr>
            <w:r w:rsidRPr="008941B2">
              <w:rPr>
                <w:rFonts w:ascii="Titillium" w:hAnsi="Titillium"/>
                <w:szCs w:val="22"/>
              </w:rPr>
              <w:t>Funkční bezpečnost elektrických/elektronických/programovatelných elektronických systémů souvisejících s bezpečností – Část 4: Definice a zkratky</w:t>
            </w:r>
          </w:p>
        </w:tc>
      </w:tr>
      <w:tr w:rsidR="008941B2" w:rsidRPr="008941B2" w14:paraId="224F799F" w14:textId="77777777">
        <w:tc>
          <w:tcPr>
            <w:tcW w:w="2585" w:type="dxa"/>
            <w:hideMark/>
          </w:tcPr>
          <w:p w14:paraId="6531724F"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61508-5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34FB288D" w14:textId="77777777" w:rsidR="008941B2" w:rsidRPr="008941B2" w:rsidRDefault="008941B2" w:rsidP="008941B2">
            <w:pPr>
              <w:ind w:firstLine="0"/>
              <w:rPr>
                <w:rFonts w:ascii="Titillium" w:hAnsi="Titillium"/>
                <w:szCs w:val="22"/>
              </w:rPr>
            </w:pPr>
            <w:r w:rsidRPr="008941B2">
              <w:rPr>
                <w:rFonts w:ascii="Titillium" w:hAnsi="Titillium"/>
                <w:szCs w:val="22"/>
              </w:rPr>
              <w:t>Funkční bezpečnost elektrických/elektronických/programovatelných elektronických systémů souvisejících s bezpečností – Část 5: Příklady metod určování úrovní integrity bezpečnosti</w:t>
            </w:r>
          </w:p>
        </w:tc>
      </w:tr>
      <w:tr w:rsidR="008941B2" w:rsidRPr="008941B2" w14:paraId="46BFD15D" w14:textId="77777777">
        <w:tc>
          <w:tcPr>
            <w:tcW w:w="2585" w:type="dxa"/>
            <w:hideMark/>
          </w:tcPr>
          <w:p w14:paraId="5DF99EC7"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61508-6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4C4D2636" w14:textId="77777777" w:rsidR="008941B2" w:rsidRPr="008941B2" w:rsidRDefault="008941B2" w:rsidP="008941B2">
            <w:pPr>
              <w:ind w:firstLine="0"/>
              <w:rPr>
                <w:rFonts w:ascii="Titillium" w:hAnsi="Titillium"/>
                <w:szCs w:val="22"/>
              </w:rPr>
            </w:pPr>
            <w:r w:rsidRPr="008941B2">
              <w:rPr>
                <w:rFonts w:ascii="Titillium" w:hAnsi="Titillium"/>
                <w:szCs w:val="22"/>
              </w:rPr>
              <w:t>Funkční bezpečnost elektrických/elektronických/programovatelných elektronických systémů souvisejících s bezpečností – Část 6: Metodické pokyny pro použití IEC 61508-2 a IEC 61508-3</w:t>
            </w:r>
          </w:p>
        </w:tc>
      </w:tr>
      <w:tr w:rsidR="008941B2" w:rsidRPr="008941B2" w14:paraId="632D4158" w14:textId="77777777">
        <w:tc>
          <w:tcPr>
            <w:tcW w:w="2585" w:type="dxa"/>
            <w:hideMark/>
          </w:tcPr>
          <w:p w14:paraId="47CFBE44"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61508-7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07C31C9C" w14:textId="77777777" w:rsidR="008941B2" w:rsidRPr="008941B2" w:rsidRDefault="008941B2" w:rsidP="008941B2">
            <w:pPr>
              <w:ind w:firstLine="0"/>
              <w:rPr>
                <w:rFonts w:ascii="Titillium" w:hAnsi="Titillium"/>
                <w:szCs w:val="22"/>
              </w:rPr>
            </w:pPr>
            <w:r w:rsidRPr="008941B2">
              <w:rPr>
                <w:rFonts w:ascii="Titillium" w:hAnsi="Titillium"/>
                <w:szCs w:val="22"/>
              </w:rPr>
              <w:t>Funkční bezpečnost elektrických/elektronických/programovatelných elektronických systémů souvisejících s bezpečností – Část 7: Přehled technik a opatření</w:t>
            </w:r>
          </w:p>
        </w:tc>
      </w:tr>
      <w:tr w:rsidR="008941B2" w:rsidRPr="008941B2" w14:paraId="7C442F95" w14:textId="77777777">
        <w:tc>
          <w:tcPr>
            <w:tcW w:w="2585" w:type="dxa"/>
            <w:hideMark/>
          </w:tcPr>
          <w:p w14:paraId="5A30C168"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61000-6-4 </w:t>
            </w:r>
            <w:proofErr w:type="spellStart"/>
            <w:r w:rsidRPr="008941B2">
              <w:rPr>
                <w:rFonts w:ascii="Titillium" w:hAnsi="Titillium"/>
                <w:szCs w:val="22"/>
              </w:rPr>
              <w:t>ed</w:t>
            </w:r>
            <w:proofErr w:type="spellEnd"/>
            <w:r w:rsidRPr="008941B2">
              <w:rPr>
                <w:rFonts w:ascii="Titillium" w:hAnsi="Titillium"/>
                <w:szCs w:val="22"/>
              </w:rPr>
              <w:t>. 3</w:t>
            </w:r>
          </w:p>
        </w:tc>
        <w:tc>
          <w:tcPr>
            <w:tcW w:w="7338" w:type="dxa"/>
            <w:hideMark/>
          </w:tcPr>
          <w:p w14:paraId="1B7896F7" w14:textId="77777777" w:rsidR="008941B2" w:rsidRPr="008941B2" w:rsidRDefault="008941B2" w:rsidP="008941B2">
            <w:pPr>
              <w:ind w:firstLine="0"/>
              <w:rPr>
                <w:rFonts w:ascii="Titillium" w:hAnsi="Titillium"/>
                <w:szCs w:val="22"/>
              </w:rPr>
            </w:pPr>
            <w:r w:rsidRPr="008941B2">
              <w:rPr>
                <w:rFonts w:ascii="Titillium" w:hAnsi="Titillium"/>
                <w:szCs w:val="22"/>
              </w:rPr>
              <w:t>Elektromagnetická kompatibilita (EMC) - Část 6-4: Kmenové normy – Emise – Průmyslové prostředí</w:t>
            </w:r>
          </w:p>
        </w:tc>
      </w:tr>
      <w:tr w:rsidR="008941B2" w:rsidRPr="008941B2" w14:paraId="6C6A0E4C" w14:textId="77777777">
        <w:tc>
          <w:tcPr>
            <w:tcW w:w="2585" w:type="dxa"/>
            <w:hideMark/>
          </w:tcPr>
          <w:p w14:paraId="5EE26DA0"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61000-6-2 </w:t>
            </w:r>
            <w:proofErr w:type="spellStart"/>
            <w:r w:rsidRPr="008941B2">
              <w:rPr>
                <w:rFonts w:ascii="Titillium" w:hAnsi="Titillium"/>
                <w:szCs w:val="22"/>
              </w:rPr>
              <w:t>ed</w:t>
            </w:r>
            <w:proofErr w:type="spellEnd"/>
            <w:r w:rsidRPr="008941B2">
              <w:rPr>
                <w:rFonts w:ascii="Titillium" w:hAnsi="Titillium"/>
                <w:szCs w:val="22"/>
              </w:rPr>
              <w:t>. 4</w:t>
            </w:r>
          </w:p>
        </w:tc>
        <w:tc>
          <w:tcPr>
            <w:tcW w:w="7338" w:type="dxa"/>
            <w:hideMark/>
          </w:tcPr>
          <w:p w14:paraId="2F946EC3" w14:textId="77777777" w:rsidR="008941B2" w:rsidRPr="008941B2" w:rsidRDefault="008941B2" w:rsidP="008941B2">
            <w:pPr>
              <w:ind w:firstLine="0"/>
              <w:rPr>
                <w:rFonts w:ascii="Titillium" w:hAnsi="Titillium"/>
                <w:szCs w:val="22"/>
              </w:rPr>
            </w:pPr>
            <w:r w:rsidRPr="008941B2">
              <w:rPr>
                <w:rFonts w:ascii="Titillium" w:hAnsi="Titillium"/>
                <w:szCs w:val="22"/>
              </w:rPr>
              <w:t>Elektromagnetická kompatibilita (EMC) - Část 6-2: Kmenové normy – Odolnost pro průmyslové prostředí</w:t>
            </w:r>
          </w:p>
        </w:tc>
      </w:tr>
      <w:tr w:rsidR="008941B2" w:rsidRPr="008941B2" w14:paraId="11CFB614" w14:textId="77777777">
        <w:tc>
          <w:tcPr>
            <w:tcW w:w="2585" w:type="dxa"/>
            <w:hideMark/>
          </w:tcPr>
          <w:p w14:paraId="3BB3632F"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60947-4-1 </w:t>
            </w:r>
            <w:proofErr w:type="spellStart"/>
            <w:r w:rsidRPr="008941B2">
              <w:rPr>
                <w:rFonts w:ascii="Titillium" w:hAnsi="Titillium"/>
                <w:szCs w:val="22"/>
              </w:rPr>
              <w:t>ed</w:t>
            </w:r>
            <w:proofErr w:type="spellEnd"/>
            <w:r w:rsidRPr="008941B2">
              <w:rPr>
                <w:rFonts w:ascii="Titillium" w:hAnsi="Titillium"/>
                <w:szCs w:val="22"/>
              </w:rPr>
              <w:t>. 3</w:t>
            </w:r>
          </w:p>
        </w:tc>
        <w:tc>
          <w:tcPr>
            <w:tcW w:w="7338" w:type="dxa"/>
            <w:hideMark/>
          </w:tcPr>
          <w:p w14:paraId="6BF0D95D" w14:textId="77777777" w:rsidR="008941B2" w:rsidRPr="008941B2" w:rsidRDefault="008941B2" w:rsidP="008941B2">
            <w:pPr>
              <w:ind w:firstLine="0"/>
              <w:rPr>
                <w:rFonts w:ascii="Titillium" w:hAnsi="Titillium"/>
                <w:szCs w:val="22"/>
              </w:rPr>
            </w:pPr>
            <w:r w:rsidRPr="008941B2">
              <w:rPr>
                <w:rFonts w:ascii="Titillium" w:hAnsi="Titillium"/>
                <w:szCs w:val="22"/>
              </w:rPr>
              <w:t>Spínací a řídicí přístroje nízkého napětí – Část 4-1: Stykače a spouštěče motorů – Elektromechanické stykače a spouštěče motorů</w:t>
            </w:r>
          </w:p>
        </w:tc>
      </w:tr>
      <w:tr w:rsidR="008941B2" w:rsidRPr="008941B2" w14:paraId="29566431" w14:textId="77777777">
        <w:tc>
          <w:tcPr>
            <w:tcW w:w="2585" w:type="dxa"/>
            <w:hideMark/>
          </w:tcPr>
          <w:p w14:paraId="6888E951" w14:textId="77777777" w:rsidR="008941B2" w:rsidRPr="008941B2" w:rsidRDefault="008941B2" w:rsidP="008941B2">
            <w:pPr>
              <w:ind w:firstLine="0"/>
              <w:rPr>
                <w:rFonts w:ascii="Titillium" w:hAnsi="Titillium"/>
                <w:szCs w:val="22"/>
              </w:rPr>
            </w:pPr>
            <w:r w:rsidRPr="008941B2">
              <w:rPr>
                <w:rFonts w:ascii="Titillium" w:hAnsi="Titillium"/>
                <w:szCs w:val="22"/>
              </w:rPr>
              <w:t>ČSN EN 61131-1</w:t>
            </w:r>
          </w:p>
        </w:tc>
        <w:tc>
          <w:tcPr>
            <w:tcW w:w="7338" w:type="dxa"/>
            <w:hideMark/>
          </w:tcPr>
          <w:p w14:paraId="676BB046" w14:textId="77777777" w:rsidR="008941B2" w:rsidRPr="008941B2" w:rsidRDefault="008941B2" w:rsidP="008941B2">
            <w:pPr>
              <w:ind w:firstLine="0"/>
              <w:rPr>
                <w:rFonts w:ascii="Titillium" w:hAnsi="Titillium"/>
                <w:szCs w:val="22"/>
              </w:rPr>
            </w:pPr>
            <w:r w:rsidRPr="008941B2">
              <w:rPr>
                <w:rFonts w:ascii="Titillium" w:hAnsi="Titillium"/>
                <w:szCs w:val="22"/>
              </w:rPr>
              <w:t>Programovatelné řídicí jednotky – Část 1: Všeobecné informace</w:t>
            </w:r>
          </w:p>
        </w:tc>
      </w:tr>
      <w:tr w:rsidR="008941B2" w:rsidRPr="008941B2" w14:paraId="7F7A7649" w14:textId="77777777">
        <w:tc>
          <w:tcPr>
            <w:tcW w:w="2585" w:type="dxa"/>
            <w:hideMark/>
          </w:tcPr>
          <w:p w14:paraId="724E81D1" w14:textId="77777777" w:rsidR="008941B2" w:rsidRPr="008941B2" w:rsidRDefault="008941B2" w:rsidP="008941B2">
            <w:pPr>
              <w:ind w:firstLine="0"/>
              <w:rPr>
                <w:rFonts w:ascii="Titillium" w:hAnsi="Titillium"/>
                <w:szCs w:val="22"/>
              </w:rPr>
            </w:pPr>
            <w:r w:rsidRPr="008941B2">
              <w:rPr>
                <w:rFonts w:ascii="Titillium" w:hAnsi="Titillium"/>
                <w:szCs w:val="22"/>
              </w:rPr>
              <w:t xml:space="preserve">ČSN EN 61131-2 </w:t>
            </w:r>
            <w:proofErr w:type="spellStart"/>
            <w:r w:rsidRPr="008941B2">
              <w:rPr>
                <w:rFonts w:ascii="Titillium" w:hAnsi="Titillium"/>
                <w:szCs w:val="22"/>
              </w:rPr>
              <w:t>ed</w:t>
            </w:r>
            <w:proofErr w:type="spellEnd"/>
            <w:r w:rsidRPr="008941B2">
              <w:rPr>
                <w:rFonts w:ascii="Titillium" w:hAnsi="Titillium"/>
                <w:szCs w:val="22"/>
              </w:rPr>
              <w:t>. 2</w:t>
            </w:r>
          </w:p>
        </w:tc>
        <w:tc>
          <w:tcPr>
            <w:tcW w:w="7338" w:type="dxa"/>
            <w:hideMark/>
          </w:tcPr>
          <w:p w14:paraId="48D71CD8" w14:textId="77777777" w:rsidR="008941B2" w:rsidRPr="008941B2" w:rsidRDefault="008941B2" w:rsidP="008941B2">
            <w:pPr>
              <w:ind w:firstLine="0"/>
              <w:rPr>
                <w:rFonts w:ascii="Titillium" w:hAnsi="Titillium"/>
                <w:szCs w:val="22"/>
              </w:rPr>
            </w:pPr>
            <w:r w:rsidRPr="008941B2">
              <w:rPr>
                <w:rFonts w:ascii="Titillium" w:hAnsi="Titillium"/>
                <w:szCs w:val="22"/>
              </w:rPr>
              <w:t>Programovatelné řídicí jednotky – Část 2: Požadavky na zařízení a zkoušky</w:t>
            </w:r>
          </w:p>
        </w:tc>
      </w:tr>
      <w:tr w:rsidR="008941B2" w:rsidRPr="008941B2" w14:paraId="6A9CD98C" w14:textId="77777777">
        <w:tc>
          <w:tcPr>
            <w:tcW w:w="2585" w:type="dxa"/>
            <w:hideMark/>
          </w:tcPr>
          <w:p w14:paraId="1818DD56" w14:textId="77777777" w:rsidR="008941B2" w:rsidRPr="008941B2" w:rsidRDefault="008941B2" w:rsidP="008941B2">
            <w:pPr>
              <w:ind w:firstLine="0"/>
              <w:rPr>
                <w:rFonts w:ascii="Titillium" w:hAnsi="Titillium"/>
                <w:szCs w:val="22"/>
              </w:rPr>
            </w:pPr>
            <w:r w:rsidRPr="008941B2">
              <w:rPr>
                <w:rFonts w:ascii="Titillium" w:hAnsi="Titillium"/>
                <w:szCs w:val="22"/>
              </w:rPr>
              <w:t>ČSN EN 61131-6</w:t>
            </w:r>
          </w:p>
        </w:tc>
        <w:tc>
          <w:tcPr>
            <w:tcW w:w="7338" w:type="dxa"/>
            <w:hideMark/>
          </w:tcPr>
          <w:p w14:paraId="0CEFE7D0" w14:textId="77777777" w:rsidR="008941B2" w:rsidRPr="008941B2" w:rsidRDefault="008941B2" w:rsidP="008941B2">
            <w:pPr>
              <w:ind w:firstLine="0"/>
              <w:rPr>
                <w:rFonts w:ascii="Titillium" w:hAnsi="Titillium"/>
                <w:szCs w:val="22"/>
              </w:rPr>
            </w:pPr>
            <w:r w:rsidRPr="008941B2">
              <w:rPr>
                <w:rFonts w:ascii="Titillium" w:hAnsi="Titillium"/>
                <w:szCs w:val="22"/>
              </w:rPr>
              <w:t>Programovatelné řídicí jednotky – Část 6: Funkční bezpečnost</w:t>
            </w:r>
          </w:p>
        </w:tc>
      </w:tr>
    </w:tbl>
    <w:p w14:paraId="39A9AA1E" w14:textId="77777777" w:rsidR="00486B30" w:rsidRPr="00873FFD" w:rsidRDefault="00486B30" w:rsidP="00873FFD">
      <w:pPr>
        <w:ind w:firstLine="0"/>
        <w:rPr>
          <w:rFonts w:ascii="Titillium" w:hAnsi="Titillium"/>
          <w:sz w:val="8"/>
          <w:szCs w:val="8"/>
        </w:rPr>
      </w:pPr>
    </w:p>
    <w:sectPr w:rsidR="00486B30" w:rsidRPr="00873FFD" w:rsidSect="00807159">
      <w:headerReference w:type="default" r:id="rId10"/>
      <w:footnotePr>
        <w:pos w:val="beneathText"/>
      </w:footnotePr>
      <w:pgSz w:w="11905" w:h="16837" w:code="9"/>
      <w:pgMar w:top="441" w:right="851" w:bottom="1134" w:left="1134"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9D60" w14:textId="77777777" w:rsidR="00BA5B66" w:rsidRDefault="00BA5B66">
      <w:r>
        <w:separator/>
      </w:r>
    </w:p>
  </w:endnote>
  <w:endnote w:type="continuationSeparator" w:id="0">
    <w:p w14:paraId="2F77FE49" w14:textId="77777777" w:rsidR="00BA5B66" w:rsidRDefault="00BA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3CE6" w14:textId="77777777" w:rsidR="00BA5B66" w:rsidRDefault="00BA5B66">
      <w:r>
        <w:separator/>
      </w:r>
    </w:p>
  </w:footnote>
  <w:footnote w:type="continuationSeparator" w:id="0">
    <w:p w14:paraId="080FCC0E" w14:textId="77777777" w:rsidR="00BA5B66" w:rsidRDefault="00BA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E48B" w14:textId="77777777" w:rsidR="00085BBB" w:rsidRPr="00AC2496" w:rsidRDefault="00085BBB" w:rsidP="00AC24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6104E2"/>
    <w:multiLevelType w:val="hybridMultilevel"/>
    <w:tmpl w:val="214E0996"/>
    <w:lvl w:ilvl="0" w:tplc="4010236A">
      <w:start w:val="1"/>
      <w:numFmt w:val="bullet"/>
      <w:lvlText w:val="-"/>
      <w:lvlJc w:val="left"/>
      <w:pPr>
        <w:ind w:left="720" w:hanging="360"/>
      </w:pPr>
      <w:rPr>
        <w:rFonts w:ascii="Titillium" w:eastAsia="Times New Roman" w:hAnsi="Titillium"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72B29"/>
    <w:multiLevelType w:val="hybridMultilevel"/>
    <w:tmpl w:val="B00A2016"/>
    <w:lvl w:ilvl="0" w:tplc="04050017">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 w15:restartNumberingAfterBreak="0">
    <w:nsid w:val="16F8568E"/>
    <w:multiLevelType w:val="hybridMultilevel"/>
    <w:tmpl w:val="3DEC05B4"/>
    <w:lvl w:ilvl="0" w:tplc="A36853D4">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B7435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A17256"/>
    <w:multiLevelType w:val="hybridMultilevel"/>
    <w:tmpl w:val="D9B6C082"/>
    <w:lvl w:ilvl="0" w:tplc="4CD60A56">
      <w:numFmt w:val="bullet"/>
      <w:lvlText w:val="-"/>
      <w:lvlJc w:val="left"/>
      <w:pPr>
        <w:ind w:left="1070" w:hanging="360"/>
      </w:pPr>
      <w:rPr>
        <w:rFonts w:ascii="Titillium" w:eastAsia="Times New Roman" w:hAnsi="Titillium" w:cs="Times New Roman"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 w15:restartNumberingAfterBreak="0">
    <w:nsid w:val="3ED06F8F"/>
    <w:multiLevelType w:val="hybridMultilevel"/>
    <w:tmpl w:val="29283B4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437104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CA613A"/>
    <w:multiLevelType w:val="hybridMultilevel"/>
    <w:tmpl w:val="737CCD5E"/>
    <w:lvl w:ilvl="0" w:tplc="8966919C">
      <w:start w:val="4"/>
      <w:numFmt w:val="bullet"/>
      <w:lvlText w:val="-"/>
      <w:lvlJc w:val="left"/>
      <w:pPr>
        <w:ind w:left="360" w:hanging="360"/>
      </w:pPr>
      <w:rPr>
        <w:rFonts w:ascii="Titillium" w:eastAsia="Times New Roman" w:hAnsi="Titillium"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5506CE"/>
    <w:multiLevelType w:val="hybridMultilevel"/>
    <w:tmpl w:val="632E5C50"/>
    <w:lvl w:ilvl="0" w:tplc="6862DE00">
      <w:numFmt w:val="bullet"/>
      <w:lvlText w:val="-"/>
      <w:lvlJc w:val="left"/>
      <w:pPr>
        <w:ind w:left="720" w:hanging="360"/>
      </w:pPr>
      <w:rPr>
        <w:rFonts w:ascii="Titillium" w:eastAsia="Times New Roman" w:hAnsi="Titillium"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F35D9C"/>
    <w:multiLevelType w:val="hybridMultilevel"/>
    <w:tmpl w:val="C55AC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6B1E74"/>
    <w:multiLevelType w:val="multilevel"/>
    <w:tmpl w:val="08B8F3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F1E3A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74B03"/>
    <w:multiLevelType w:val="hybridMultilevel"/>
    <w:tmpl w:val="DFC4E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E63995"/>
    <w:multiLevelType w:val="hybridMultilevel"/>
    <w:tmpl w:val="A3A20D2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5" w15:restartNumberingAfterBreak="0">
    <w:nsid w:val="7A2D589F"/>
    <w:multiLevelType w:val="hybridMultilevel"/>
    <w:tmpl w:val="701ECDDA"/>
    <w:lvl w:ilvl="0" w:tplc="38FEE28A">
      <w:numFmt w:val="bullet"/>
      <w:lvlText w:val="-"/>
      <w:lvlJc w:val="left"/>
      <w:pPr>
        <w:tabs>
          <w:tab w:val="num" w:pos="1770"/>
        </w:tabs>
        <w:ind w:left="1770" w:hanging="360"/>
      </w:pPr>
      <w:rPr>
        <w:rFonts w:ascii="Arial" w:eastAsia="Times New Roman" w:hAnsi="Arial" w:cs="Arial" w:hint="default"/>
      </w:rPr>
    </w:lvl>
    <w:lvl w:ilvl="1" w:tplc="04050003" w:tentative="1">
      <w:start w:val="1"/>
      <w:numFmt w:val="bullet"/>
      <w:lvlText w:val="o"/>
      <w:lvlJc w:val="left"/>
      <w:pPr>
        <w:tabs>
          <w:tab w:val="num" w:pos="2490"/>
        </w:tabs>
        <w:ind w:left="2490" w:hanging="360"/>
      </w:pPr>
      <w:rPr>
        <w:rFonts w:ascii="Courier New" w:hAnsi="Courier New" w:cs="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cs="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cs="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16" w15:restartNumberingAfterBreak="0">
    <w:nsid w:val="7DA27DE3"/>
    <w:multiLevelType w:val="hybridMultilevel"/>
    <w:tmpl w:val="BB843C38"/>
    <w:lvl w:ilvl="0" w:tplc="82FCA3AC">
      <w:start w:val="1"/>
      <w:numFmt w:val="upperLetter"/>
      <w:lvlText w:val="%1."/>
      <w:lvlJc w:val="left"/>
      <w:pPr>
        <w:ind w:left="720" w:hanging="360"/>
      </w:pPr>
      <w:rPr>
        <w:b/>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9C6A38"/>
    <w:multiLevelType w:val="hybridMultilevel"/>
    <w:tmpl w:val="DE12D4F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83661008">
    <w:abstractNumId w:val="0"/>
  </w:num>
  <w:num w:numId="2" w16cid:durableId="1305037890">
    <w:abstractNumId w:val="2"/>
  </w:num>
  <w:num w:numId="3" w16cid:durableId="211890597">
    <w:abstractNumId w:val="13"/>
  </w:num>
  <w:num w:numId="4" w16cid:durableId="2137525526">
    <w:abstractNumId w:val="15"/>
  </w:num>
  <w:num w:numId="5" w16cid:durableId="199053944">
    <w:abstractNumId w:val="3"/>
  </w:num>
  <w:num w:numId="6" w16cid:durableId="540554083">
    <w:abstractNumId w:val="9"/>
  </w:num>
  <w:num w:numId="7" w16cid:durableId="1444836874">
    <w:abstractNumId w:val="16"/>
  </w:num>
  <w:num w:numId="8" w16cid:durableId="378096152">
    <w:abstractNumId w:val="17"/>
  </w:num>
  <w:num w:numId="9" w16cid:durableId="1824542067">
    <w:abstractNumId w:val="6"/>
  </w:num>
  <w:num w:numId="10" w16cid:durableId="160707054">
    <w:abstractNumId w:val="14"/>
  </w:num>
  <w:num w:numId="11" w16cid:durableId="1967393010">
    <w:abstractNumId w:val="5"/>
  </w:num>
  <w:num w:numId="12" w16cid:durableId="1658260687">
    <w:abstractNumId w:val="1"/>
  </w:num>
  <w:num w:numId="13" w16cid:durableId="1459563817">
    <w:abstractNumId w:val="8"/>
  </w:num>
  <w:num w:numId="14" w16cid:durableId="1520461852">
    <w:abstractNumId w:val="10"/>
  </w:num>
  <w:num w:numId="15" w16cid:durableId="709038495">
    <w:abstractNumId w:val="0"/>
  </w:num>
  <w:num w:numId="16" w16cid:durableId="2124572296">
    <w:abstractNumId w:val="7"/>
  </w:num>
  <w:num w:numId="17" w16cid:durableId="86122760">
    <w:abstractNumId w:val="12"/>
  </w:num>
  <w:num w:numId="18" w16cid:durableId="1144547132">
    <w:abstractNumId w:val="4"/>
  </w:num>
  <w:num w:numId="19" w16cid:durableId="1195653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CA"/>
    <w:rsid w:val="00000F66"/>
    <w:rsid w:val="00002AAC"/>
    <w:rsid w:val="00007F59"/>
    <w:rsid w:val="00010A80"/>
    <w:rsid w:val="000157D6"/>
    <w:rsid w:val="000164DB"/>
    <w:rsid w:val="000200AB"/>
    <w:rsid w:val="000219CA"/>
    <w:rsid w:val="000243F7"/>
    <w:rsid w:val="00032E79"/>
    <w:rsid w:val="00036D3C"/>
    <w:rsid w:val="00041317"/>
    <w:rsid w:val="00042854"/>
    <w:rsid w:val="00044C46"/>
    <w:rsid w:val="00061C36"/>
    <w:rsid w:val="0006356B"/>
    <w:rsid w:val="0006697E"/>
    <w:rsid w:val="00080D50"/>
    <w:rsid w:val="00085BBB"/>
    <w:rsid w:val="0008606B"/>
    <w:rsid w:val="000873C4"/>
    <w:rsid w:val="000874D1"/>
    <w:rsid w:val="000A283F"/>
    <w:rsid w:val="000A7288"/>
    <w:rsid w:val="000B0838"/>
    <w:rsid w:val="000B4251"/>
    <w:rsid w:val="000C35DE"/>
    <w:rsid w:val="000C49B1"/>
    <w:rsid w:val="000C5615"/>
    <w:rsid w:val="000D15AC"/>
    <w:rsid w:val="000E2097"/>
    <w:rsid w:val="000F0316"/>
    <w:rsid w:val="000F1936"/>
    <w:rsid w:val="000F3CDC"/>
    <w:rsid w:val="00101B99"/>
    <w:rsid w:val="00112DBE"/>
    <w:rsid w:val="001168D8"/>
    <w:rsid w:val="001223EF"/>
    <w:rsid w:val="00146586"/>
    <w:rsid w:val="00146AEE"/>
    <w:rsid w:val="001516C3"/>
    <w:rsid w:val="001656AF"/>
    <w:rsid w:val="001721D1"/>
    <w:rsid w:val="001729C4"/>
    <w:rsid w:val="00173B9B"/>
    <w:rsid w:val="001850E6"/>
    <w:rsid w:val="0019189D"/>
    <w:rsid w:val="0019234C"/>
    <w:rsid w:val="00194688"/>
    <w:rsid w:val="001A3496"/>
    <w:rsid w:val="001A3D1F"/>
    <w:rsid w:val="001A4F98"/>
    <w:rsid w:val="001A7CDA"/>
    <w:rsid w:val="001B1177"/>
    <w:rsid w:val="001B3661"/>
    <w:rsid w:val="001B42AE"/>
    <w:rsid w:val="001C2241"/>
    <w:rsid w:val="001C7A63"/>
    <w:rsid w:val="001D4C33"/>
    <w:rsid w:val="001E1E88"/>
    <w:rsid w:val="001E5416"/>
    <w:rsid w:val="0021377E"/>
    <w:rsid w:val="002164F9"/>
    <w:rsid w:val="00222559"/>
    <w:rsid w:val="002330D6"/>
    <w:rsid w:val="002360A7"/>
    <w:rsid w:val="002365F2"/>
    <w:rsid w:val="00237E50"/>
    <w:rsid w:val="0024087C"/>
    <w:rsid w:val="00242AE3"/>
    <w:rsid w:val="0025389F"/>
    <w:rsid w:val="002708A9"/>
    <w:rsid w:val="00290F8B"/>
    <w:rsid w:val="002A3AA1"/>
    <w:rsid w:val="002A7CB9"/>
    <w:rsid w:val="002C17AA"/>
    <w:rsid w:val="002C6287"/>
    <w:rsid w:val="002C6B95"/>
    <w:rsid w:val="002C716B"/>
    <w:rsid w:val="002C7DC4"/>
    <w:rsid w:val="002D24AC"/>
    <w:rsid w:val="002D2BA2"/>
    <w:rsid w:val="002D791A"/>
    <w:rsid w:val="002E717E"/>
    <w:rsid w:val="002F0760"/>
    <w:rsid w:val="002F2790"/>
    <w:rsid w:val="002F4CF2"/>
    <w:rsid w:val="00303687"/>
    <w:rsid w:val="003104BF"/>
    <w:rsid w:val="003167D7"/>
    <w:rsid w:val="00322E09"/>
    <w:rsid w:val="003241BA"/>
    <w:rsid w:val="003248FD"/>
    <w:rsid w:val="003256A1"/>
    <w:rsid w:val="00326563"/>
    <w:rsid w:val="00327753"/>
    <w:rsid w:val="003309FB"/>
    <w:rsid w:val="003402FF"/>
    <w:rsid w:val="0034186B"/>
    <w:rsid w:val="003421B7"/>
    <w:rsid w:val="00347360"/>
    <w:rsid w:val="003501F0"/>
    <w:rsid w:val="00353009"/>
    <w:rsid w:val="00353391"/>
    <w:rsid w:val="003537B1"/>
    <w:rsid w:val="00354E12"/>
    <w:rsid w:val="00360D93"/>
    <w:rsid w:val="003679DD"/>
    <w:rsid w:val="0037311E"/>
    <w:rsid w:val="00375F33"/>
    <w:rsid w:val="00380250"/>
    <w:rsid w:val="00385330"/>
    <w:rsid w:val="003A15B8"/>
    <w:rsid w:val="003B4331"/>
    <w:rsid w:val="003B45B6"/>
    <w:rsid w:val="003B5C42"/>
    <w:rsid w:val="003C3033"/>
    <w:rsid w:val="003D093D"/>
    <w:rsid w:val="003D6CD7"/>
    <w:rsid w:val="003D6D3D"/>
    <w:rsid w:val="003E1C16"/>
    <w:rsid w:val="003F1741"/>
    <w:rsid w:val="003F271E"/>
    <w:rsid w:val="003F5843"/>
    <w:rsid w:val="004136EB"/>
    <w:rsid w:val="00421B94"/>
    <w:rsid w:val="00430DDE"/>
    <w:rsid w:val="00433213"/>
    <w:rsid w:val="00433E47"/>
    <w:rsid w:val="00434669"/>
    <w:rsid w:val="004356A3"/>
    <w:rsid w:val="00441527"/>
    <w:rsid w:val="004448E3"/>
    <w:rsid w:val="00464701"/>
    <w:rsid w:val="00470290"/>
    <w:rsid w:val="00471280"/>
    <w:rsid w:val="00486B30"/>
    <w:rsid w:val="0049204D"/>
    <w:rsid w:val="00492C91"/>
    <w:rsid w:val="004A049F"/>
    <w:rsid w:val="004A0F9A"/>
    <w:rsid w:val="004B051F"/>
    <w:rsid w:val="004B7480"/>
    <w:rsid w:val="004F3417"/>
    <w:rsid w:val="00504CEF"/>
    <w:rsid w:val="00506BEA"/>
    <w:rsid w:val="005150B4"/>
    <w:rsid w:val="00515C04"/>
    <w:rsid w:val="0051792C"/>
    <w:rsid w:val="00526162"/>
    <w:rsid w:val="0052716F"/>
    <w:rsid w:val="00530590"/>
    <w:rsid w:val="00530D22"/>
    <w:rsid w:val="005360CF"/>
    <w:rsid w:val="0053724E"/>
    <w:rsid w:val="005407F8"/>
    <w:rsid w:val="005439D4"/>
    <w:rsid w:val="00546C0A"/>
    <w:rsid w:val="0055358F"/>
    <w:rsid w:val="00556120"/>
    <w:rsid w:val="00556FFE"/>
    <w:rsid w:val="00566D4B"/>
    <w:rsid w:val="00567A26"/>
    <w:rsid w:val="0057239A"/>
    <w:rsid w:val="00573B72"/>
    <w:rsid w:val="005761A5"/>
    <w:rsid w:val="00584639"/>
    <w:rsid w:val="00585043"/>
    <w:rsid w:val="00586705"/>
    <w:rsid w:val="005902A6"/>
    <w:rsid w:val="00590F27"/>
    <w:rsid w:val="00591027"/>
    <w:rsid w:val="00591696"/>
    <w:rsid w:val="005A14E7"/>
    <w:rsid w:val="005C3022"/>
    <w:rsid w:val="005C625B"/>
    <w:rsid w:val="005C75C2"/>
    <w:rsid w:val="005D1E8B"/>
    <w:rsid w:val="005D3D20"/>
    <w:rsid w:val="005D6AC3"/>
    <w:rsid w:val="005E1EB5"/>
    <w:rsid w:val="005E4069"/>
    <w:rsid w:val="005E40B8"/>
    <w:rsid w:val="005E62DD"/>
    <w:rsid w:val="005E667B"/>
    <w:rsid w:val="005F28DD"/>
    <w:rsid w:val="005F6F6F"/>
    <w:rsid w:val="00607B55"/>
    <w:rsid w:val="00616994"/>
    <w:rsid w:val="00624758"/>
    <w:rsid w:val="00635680"/>
    <w:rsid w:val="006368C9"/>
    <w:rsid w:val="00637F36"/>
    <w:rsid w:val="00651360"/>
    <w:rsid w:val="00656D33"/>
    <w:rsid w:val="0065703A"/>
    <w:rsid w:val="006623A0"/>
    <w:rsid w:val="00675506"/>
    <w:rsid w:val="00676323"/>
    <w:rsid w:val="006875E0"/>
    <w:rsid w:val="00692A63"/>
    <w:rsid w:val="006946B1"/>
    <w:rsid w:val="00695E2C"/>
    <w:rsid w:val="006A49FE"/>
    <w:rsid w:val="006B5093"/>
    <w:rsid w:val="006C29FB"/>
    <w:rsid w:val="006E0B75"/>
    <w:rsid w:val="006E391F"/>
    <w:rsid w:val="006E3D5E"/>
    <w:rsid w:val="006E7FAA"/>
    <w:rsid w:val="006F10DD"/>
    <w:rsid w:val="006F3705"/>
    <w:rsid w:val="006F4E51"/>
    <w:rsid w:val="006F668F"/>
    <w:rsid w:val="006F740D"/>
    <w:rsid w:val="00704B71"/>
    <w:rsid w:val="00706C83"/>
    <w:rsid w:val="0071224C"/>
    <w:rsid w:val="00716C13"/>
    <w:rsid w:val="00732C8C"/>
    <w:rsid w:val="00736A7E"/>
    <w:rsid w:val="00736AC3"/>
    <w:rsid w:val="00737748"/>
    <w:rsid w:val="007413E6"/>
    <w:rsid w:val="007432DF"/>
    <w:rsid w:val="007455EE"/>
    <w:rsid w:val="00747B18"/>
    <w:rsid w:val="0075221A"/>
    <w:rsid w:val="00752A3F"/>
    <w:rsid w:val="00755643"/>
    <w:rsid w:val="007619E8"/>
    <w:rsid w:val="00762A7B"/>
    <w:rsid w:val="00764BC1"/>
    <w:rsid w:val="007710F9"/>
    <w:rsid w:val="00794C87"/>
    <w:rsid w:val="00795335"/>
    <w:rsid w:val="00795CFA"/>
    <w:rsid w:val="007B177D"/>
    <w:rsid w:val="007B53E2"/>
    <w:rsid w:val="007B5A3C"/>
    <w:rsid w:val="007B6F2E"/>
    <w:rsid w:val="007C59F3"/>
    <w:rsid w:val="007C624B"/>
    <w:rsid w:val="007D4528"/>
    <w:rsid w:val="007D7027"/>
    <w:rsid w:val="007E16D2"/>
    <w:rsid w:val="007E7F69"/>
    <w:rsid w:val="007F027D"/>
    <w:rsid w:val="007F1C7F"/>
    <w:rsid w:val="007F5A41"/>
    <w:rsid w:val="00807159"/>
    <w:rsid w:val="00812D3E"/>
    <w:rsid w:val="00814AF5"/>
    <w:rsid w:val="008200FE"/>
    <w:rsid w:val="0082071F"/>
    <w:rsid w:val="0082479D"/>
    <w:rsid w:val="00824BC5"/>
    <w:rsid w:val="008263D3"/>
    <w:rsid w:val="00827C04"/>
    <w:rsid w:val="00833E17"/>
    <w:rsid w:val="00837916"/>
    <w:rsid w:val="00837B8D"/>
    <w:rsid w:val="00852F0B"/>
    <w:rsid w:val="00855210"/>
    <w:rsid w:val="008624B7"/>
    <w:rsid w:val="00865291"/>
    <w:rsid w:val="008714DD"/>
    <w:rsid w:val="00873FFD"/>
    <w:rsid w:val="008745BA"/>
    <w:rsid w:val="00877826"/>
    <w:rsid w:val="00880335"/>
    <w:rsid w:val="00883BAA"/>
    <w:rsid w:val="0088498F"/>
    <w:rsid w:val="008941B2"/>
    <w:rsid w:val="008A5485"/>
    <w:rsid w:val="008B4B3A"/>
    <w:rsid w:val="008B63AD"/>
    <w:rsid w:val="008C6F89"/>
    <w:rsid w:val="008D5DCE"/>
    <w:rsid w:val="008E6E94"/>
    <w:rsid w:val="008F1F78"/>
    <w:rsid w:val="009171C5"/>
    <w:rsid w:val="00921926"/>
    <w:rsid w:val="00921A96"/>
    <w:rsid w:val="009251C6"/>
    <w:rsid w:val="0092660E"/>
    <w:rsid w:val="0093121A"/>
    <w:rsid w:val="009317E8"/>
    <w:rsid w:val="009339EA"/>
    <w:rsid w:val="00936E36"/>
    <w:rsid w:val="00941029"/>
    <w:rsid w:val="00946A3B"/>
    <w:rsid w:val="0095655C"/>
    <w:rsid w:val="0095790B"/>
    <w:rsid w:val="009611AC"/>
    <w:rsid w:val="00963655"/>
    <w:rsid w:val="009668BC"/>
    <w:rsid w:val="0097133F"/>
    <w:rsid w:val="00984602"/>
    <w:rsid w:val="009966D3"/>
    <w:rsid w:val="0099757D"/>
    <w:rsid w:val="009A037E"/>
    <w:rsid w:val="009B3666"/>
    <w:rsid w:val="009B373C"/>
    <w:rsid w:val="009B4BAD"/>
    <w:rsid w:val="009C483E"/>
    <w:rsid w:val="009C6277"/>
    <w:rsid w:val="009C6D5F"/>
    <w:rsid w:val="009D3846"/>
    <w:rsid w:val="009D616E"/>
    <w:rsid w:val="009E1608"/>
    <w:rsid w:val="009E1E6A"/>
    <w:rsid w:val="009E3260"/>
    <w:rsid w:val="00A060AF"/>
    <w:rsid w:val="00A108D4"/>
    <w:rsid w:val="00A10F22"/>
    <w:rsid w:val="00A22A8D"/>
    <w:rsid w:val="00A31311"/>
    <w:rsid w:val="00A37CC6"/>
    <w:rsid w:val="00A408A7"/>
    <w:rsid w:val="00A4270A"/>
    <w:rsid w:val="00A45D78"/>
    <w:rsid w:val="00A461C9"/>
    <w:rsid w:val="00A5671D"/>
    <w:rsid w:val="00A617B5"/>
    <w:rsid w:val="00A67020"/>
    <w:rsid w:val="00A71641"/>
    <w:rsid w:val="00A7364E"/>
    <w:rsid w:val="00AA2136"/>
    <w:rsid w:val="00AA39B9"/>
    <w:rsid w:val="00AA58E7"/>
    <w:rsid w:val="00AA6E3D"/>
    <w:rsid w:val="00AB04C6"/>
    <w:rsid w:val="00AB671A"/>
    <w:rsid w:val="00AC2496"/>
    <w:rsid w:val="00AC4861"/>
    <w:rsid w:val="00AC49DF"/>
    <w:rsid w:val="00AD23B6"/>
    <w:rsid w:val="00AE2DF3"/>
    <w:rsid w:val="00AE5ABA"/>
    <w:rsid w:val="00B00A03"/>
    <w:rsid w:val="00B04FD2"/>
    <w:rsid w:val="00B06257"/>
    <w:rsid w:val="00B0655C"/>
    <w:rsid w:val="00B114C1"/>
    <w:rsid w:val="00B146C3"/>
    <w:rsid w:val="00B155B9"/>
    <w:rsid w:val="00B1712B"/>
    <w:rsid w:val="00B3321A"/>
    <w:rsid w:val="00B358F7"/>
    <w:rsid w:val="00B362EB"/>
    <w:rsid w:val="00B45005"/>
    <w:rsid w:val="00B47133"/>
    <w:rsid w:val="00B4740B"/>
    <w:rsid w:val="00B50DBF"/>
    <w:rsid w:val="00B735E9"/>
    <w:rsid w:val="00B81651"/>
    <w:rsid w:val="00B82034"/>
    <w:rsid w:val="00B90C62"/>
    <w:rsid w:val="00B93740"/>
    <w:rsid w:val="00BA307D"/>
    <w:rsid w:val="00BA5B66"/>
    <w:rsid w:val="00BA71EF"/>
    <w:rsid w:val="00BB24D8"/>
    <w:rsid w:val="00BC0085"/>
    <w:rsid w:val="00BC0B4E"/>
    <w:rsid w:val="00BC2DAE"/>
    <w:rsid w:val="00BD379F"/>
    <w:rsid w:val="00BE0944"/>
    <w:rsid w:val="00BE2376"/>
    <w:rsid w:val="00BE41D5"/>
    <w:rsid w:val="00BE4716"/>
    <w:rsid w:val="00BE5E15"/>
    <w:rsid w:val="00BE7602"/>
    <w:rsid w:val="00BF1BC5"/>
    <w:rsid w:val="00BF27C3"/>
    <w:rsid w:val="00BF60E9"/>
    <w:rsid w:val="00C034B0"/>
    <w:rsid w:val="00C03C8D"/>
    <w:rsid w:val="00C056E6"/>
    <w:rsid w:val="00C13812"/>
    <w:rsid w:val="00C163E1"/>
    <w:rsid w:val="00C17DCA"/>
    <w:rsid w:val="00C23B64"/>
    <w:rsid w:val="00C4117D"/>
    <w:rsid w:val="00C44AFC"/>
    <w:rsid w:val="00C51F84"/>
    <w:rsid w:val="00C53325"/>
    <w:rsid w:val="00C56594"/>
    <w:rsid w:val="00C62CFE"/>
    <w:rsid w:val="00C706D6"/>
    <w:rsid w:val="00C743A0"/>
    <w:rsid w:val="00C76143"/>
    <w:rsid w:val="00C77C17"/>
    <w:rsid w:val="00C83279"/>
    <w:rsid w:val="00C83F32"/>
    <w:rsid w:val="00C96B36"/>
    <w:rsid w:val="00C96E9F"/>
    <w:rsid w:val="00CA1483"/>
    <w:rsid w:val="00CA241A"/>
    <w:rsid w:val="00CA789A"/>
    <w:rsid w:val="00CB689B"/>
    <w:rsid w:val="00CC07C6"/>
    <w:rsid w:val="00CC2A9A"/>
    <w:rsid w:val="00CC7826"/>
    <w:rsid w:val="00CD32FA"/>
    <w:rsid w:val="00CD38F7"/>
    <w:rsid w:val="00CD6DB3"/>
    <w:rsid w:val="00CF0112"/>
    <w:rsid w:val="00CF127E"/>
    <w:rsid w:val="00CF35B8"/>
    <w:rsid w:val="00D01AD3"/>
    <w:rsid w:val="00D02E96"/>
    <w:rsid w:val="00D272F2"/>
    <w:rsid w:val="00D35BFF"/>
    <w:rsid w:val="00D4317B"/>
    <w:rsid w:val="00D459C2"/>
    <w:rsid w:val="00D47493"/>
    <w:rsid w:val="00D47EB6"/>
    <w:rsid w:val="00D504AF"/>
    <w:rsid w:val="00D507FC"/>
    <w:rsid w:val="00D57C8E"/>
    <w:rsid w:val="00D602A5"/>
    <w:rsid w:val="00D607F9"/>
    <w:rsid w:val="00D611BA"/>
    <w:rsid w:val="00D633F3"/>
    <w:rsid w:val="00D657FC"/>
    <w:rsid w:val="00D714C5"/>
    <w:rsid w:val="00D80967"/>
    <w:rsid w:val="00D86FB9"/>
    <w:rsid w:val="00D872C8"/>
    <w:rsid w:val="00D9154C"/>
    <w:rsid w:val="00DA5E71"/>
    <w:rsid w:val="00DA5E87"/>
    <w:rsid w:val="00DA7D1E"/>
    <w:rsid w:val="00DB2B19"/>
    <w:rsid w:val="00DB36C7"/>
    <w:rsid w:val="00DB4148"/>
    <w:rsid w:val="00DB4435"/>
    <w:rsid w:val="00DD2E47"/>
    <w:rsid w:val="00DD43FE"/>
    <w:rsid w:val="00DD6F81"/>
    <w:rsid w:val="00DD739A"/>
    <w:rsid w:val="00DE6652"/>
    <w:rsid w:val="00DF5AB9"/>
    <w:rsid w:val="00DF7672"/>
    <w:rsid w:val="00E03F76"/>
    <w:rsid w:val="00E13BEF"/>
    <w:rsid w:val="00E15506"/>
    <w:rsid w:val="00E16456"/>
    <w:rsid w:val="00E204CB"/>
    <w:rsid w:val="00E20CF4"/>
    <w:rsid w:val="00E21057"/>
    <w:rsid w:val="00E30BEF"/>
    <w:rsid w:val="00E361C4"/>
    <w:rsid w:val="00E41FC4"/>
    <w:rsid w:val="00E42F36"/>
    <w:rsid w:val="00E438F3"/>
    <w:rsid w:val="00E4436C"/>
    <w:rsid w:val="00E47144"/>
    <w:rsid w:val="00E518F6"/>
    <w:rsid w:val="00E52479"/>
    <w:rsid w:val="00E57613"/>
    <w:rsid w:val="00E6065A"/>
    <w:rsid w:val="00E67202"/>
    <w:rsid w:val="00E67577"/>
    <w:rsid w:val="00E7295E"/>
    <w:rsid w:val="00E77B16"/>
    <w:rsid w:val="00E840E4"/>
    <w:rsid w:val="00E8673E"/>
    <w:rsid w:val="00E87AF2"/>
    <w:rsid w:val="00E87CF3"/>
    <w:rsid w:val="00E90E7B"/>
    <w:rsid w:val="00E94537"/>
    <w:rsid w:val="00E97312"/>
    <w:rsid w:val="00EA5149"/>
    <w:rsid w:val="00EA603B"/>
    <w:rsid w:val="00EB661A"/>
    <w:rsid w:val="00EC5A0D"/>
    <w:rsid w:val="00EC7B9B"/>
    <w:rsid w:val="00ED5388"/>
    <w:rsid w:val="00EE251F"/>
    <w:rsid w:val="00EE3CB3"/>
    <w:rsid w:val="00EF4EAE"/>
    <w:rsid w:val="00F103B1"/>
    <w:rsid w:val="00F113A0"/>
    <w:rsid w:val="00F129E7"/>
    <w:rsid w:val="00F25D6E"/>
    <w:rsid w:val="00F305F8"/>
    <w:rsid w:val="00F327E7"/>
    <w:rsid w:val="00F34ADD"/>
    <w:rsid w:val="00F44BB2"/>
    <w:rsid w:val="00F4606E"/>
    <w:rsid w:val="00F460A1"/>
    <w:rsid w:val="00F5762E"/>
    <w:rsid w:val="00F60C62"/>
    <w:rsid w:val="00F6364A"/>
    <w:rsid w:val="00F64962"/>
    <w:rsid w:val="00F702BD"/>
    <w:rsid w:val="00F7185C"/>
    <w:rsid w:val="00F7236C"/>
    <w:rsid w:val="00F95B52"/>
    <w:rsid w:val="00F979E1"/>
    <w:rsid w:val="00FA186E"/>
    <w:rsid w:val="00FA566C"/>
    <w:rsid w:val="00FD1A50"/>
    <w:rsid w:val="00FD2A29"/>
    <w:rsid w:val="00FD7642"/>
    <w:rsid w:val="00FE6CF8"/>
    <w:rsid w:val="00FE77C9"/>
    <w:rsid w:val="00FF1EDF"/>
    <w:rsid w:val="00FF2614"/>
    <w:rsid w:val="00FF4CE4"/>
    <w:rsid w:val="00FF7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2CB7"/>
  <w15:docId w15:val="{DDA1ED01-869C-4728-949D-B8262F53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ind w:firstLine="567"/>
      <w:jc w:val="both"/>
    </w:pPr>
    <w:rPr>
      <w:rFonts w:ascii="Arial" w:hAnsi="Arial"/>
      <w:sz w:val="22"/>
      <w:szCs w:val="24"/>
      <w:lang w:eastAsia="ar-SA"/>
    </w:rPr>
  </w:style>
  <w:style w:type="paragraph" w:styleId="Nadpis1">
    <w:name w:val="heading 1"/>
    <w:basedOn w:val="Normln"/>
    <w:next w:val="Normln"/>
    <w:qFormat/>
    <w:pPr>
      <w:keepNext/>
      <w:numPr>
        <w:numId w:val="1"/>
      </w:numPr>
      <w:spacing w:before="240" w:after="60"/>
      <w:jc w:val="left"/>
      <w:outlineLvl w:val="0"/>
    </w:pPr>
    <w:rPr>
      <w:rFonts w:cs="Arial"/>
      <w:b/>
      <w:bCs/>
      <w:kern w:val="1"/>
      <w:sz w:val="32"/>
      <w:szCs w:val="32"/>
    </w:rPr>
  </w:style>
  <w:style w:type="paragraph" w:styleId="Nadpis2">
    <w:name w:val="heading 2"/>
    <w:basedOn w:val="Normln"/>
    <w:next w:val="Normln"/>
    <w:qFormat/>
    <w:pPr>
      <w:keepNext/>
      <w:numPr>
        <w:ilvl w:val="1"/>
        <w:numId w:val="1"/>
      </w:numPr>
      <w:spacing w:before="240" w:after="60"/>
      <w:outlineLvl w:val="1"/>
    </w:pPr>
    <w:rPr>
      <w:rFonts w:cs="Arial"/>
      <w:b/>
      <w:bCs/>
      <w:iCs/>
      <w:sz w:val="28"/>
      <w:szCs w:val="28"/>
    </w:rPr>
  </w:style>
  <w:style w:type="paragraph" w:styleId="Nadpis3">
    <w:name w:val="heading 3"/>
    <w:basedOn w:val="Normln"/>
    <w:next w:val="Normln"/>
    <w:qFormat/>
    <w:pPr>
      <w:keepNext/>
      <w:numPr>
        <w:ilvl w:val="2"/>
        <w:numId w:val="1"/>
      </w:numPr>
      <w:spacing w:before="240" w:after="60"/>
      <w:outlineLvl w:val="2"/>
    </w:pPr>
    <w:rPr>
      <w:rFonts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4"/>
      <w:szCs w:val="28"/>
    </w:rPr>
  </w:style>
  <w:style w:type="paragraph" w:styleId="Nadpis9">
    <w:name w:val="heading 9"/>
    <w:basedOn w:val="Normln"/>
    <w:next w:val="Normln"/>
    <w:link w:val="Nadpis9Char"/>
    <w:semiHidden/>
    <w:unhideWhenUsed/>
    <w:qFormat/>
    <w:rsid w:val="00A108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styleId="slostrnky">
    <w:name w:val="page number"/>
    <w:basedOn w:val="Standardnpsmoodstavce1"/>
  </w:style>
  <w:style w:type="paragraph" w:customStyle="1" w:styleId="Nadpis">
    <w:name w:val="Nadpis"/>
    <w:basedOn w:val="Normln"/>
    <w:next w:val="Zkladntext"/>
    <w:pPr>
      <w:keepNext/>
      <w:spacing w:before="240"/>
    </w:pPr>
    <w:rPr>
      <w:rFonts w:eastAsia="MS Mincho" w:cs="Tahoma"/>
      <w:sz w:val="28"/>
      <w:szCs w:val="28"/>
    </w:rPr>
  </w:style>
  <w:style w:type="paragraph" w:styleId="Zkladntext">
    <w:name w:val="Body Text"/>
    <w:basedOn w:val="Normln"/>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rPr>
  </w:style>
  <w:style w:type="paragraph" w:customStyle="1" w:styleId="Rejstk">
    <w:name w:val="Rejstřík"/>
    <w:basedOn w:val="Normln"/>
    <w:pPr>
      <w:suppressLineNumbers/>
    </w:pPr>
    <w:rPr>
      <w:rFonts w:cs="Tahoma"/>
    </w:rPr>
  </w:style>
  <w:style w:type="paragraph" w:styleId="Zhlav">
    <w:name w:val="header"/>
    <w:basedOn w:val="Normln"/>
    <w:link w:val="ZhlavChar"/>
    <w:uiPriority w:val="99"/>
    <w:pPr>
      <w:tabs>
        <w:tab w:val="center" w:pos="4536"/>
        <w:tab w:val="right" w:pos="9072"/>
      </w:tabs>
      <w:ind w:firstLine="0"/>
    </w:pPr>
    <w:rPr>
      <w:sz w:val="16"/>
    </w:rPr>
  </w:style>
  <w:style w:type="paragraph" w:styleId="Zpat">
    <w:name w:val="footer"/>
    <w:basedOn w:val="Normln"/>
    <w:pPr>
      <w:tabs>
        <w:tab w:val="center" w:pos="4536"/>
        <w:tab w:val="right" w:pos="9072"/>
      </w:tabs>
      <w:ind w:firstLine="0"/>
    </w:pPr>
    <w:rPr>
      <w:sz w:val="16"/>
    </w:rPr>
  </w:style>
  <w:style w:type="table" w:styleId="Mkatabulky">
    <w:name w:val="Table Grid"/>
    <w:basedOn w:val="Normlntabulka"/>
    <w:rsid w:val="00DE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DE6652"/>
    <w:rPr>
      <w:color w:val="0000FF"/>
      <w:u w:val="single"/>
    </w:rPr>
  </w:style>
  <w:style w:type="paragraph" w:styleId="Textbubliny">
    <w:name w:val="Balloon Text"/>
    <w:basedOn w:val="Normln"/>
    <w:link w:val="TextbublinyChar"/>
    <w:rsid w:val="00D507FC"/>
    <w:rPr>
      <w:rFonts w:ascii="Tahoma" w:hAnsi="Tahoma" w:cs="Tahoma"/>
      <w:sz w:val="16"/>
      <w:szCs w:val="16"/>
    </w:rPr>
  </w:style>
  <w:style w:type="character" w:customStyle="1" w:styleId="TextbublinyChar">
    <w:name w:val="Text bubliny Char"/>
    <w:basedOn w:val="Standardnpsmoodstavce"/>
    <w:link w:val="Textbubliny"/>
    <w:rsid w:val="00D507FC"/>
    <w:rPr>
      <w:rFonts w:ascii="Tahoma" w:hAnsi="Tahoma" w:cs="Tahoma"/>
      <w:sz w:val="16"/>
      <w:szCs w:val="16"/>
      <w:lang w:eastAsia="ar-SA"/>
    </w:rPr>
  </w:style>
  <w:style w:type="character" w:customStyle="1" w:styleId="ZhlavChar">
    <w:name w:val="Záhlaví Char"/>
    <w:basedOn w:val="Standardnpsmoodstavce"/>
    <w:link w:val="Zhlav"/>
    <w:uiPriority w:val="99"/>
    <w:rsid w:val="00CD38F7"/>
    <w:rPr>
      <w:rFonts w:ascii="Arial" w:hAnsi="Arial"/>
      <w:sz w:val="16"/>
      <w:szCs w:val="24"/>
      <w:lang w:eastAsia="ar-SA"/>
    </w:rPr>
  </w:style>
  <w:style w:type="character" w:styleId="Zstupntext">
    <w:name w:val="Placeholder Text"/>
    <w:basedOn w:val="Standardnpsmoodstavce"/>
    <w:uiPriority w:val="99"/>
    <w:semiHidden/>
    <w:rsid w:val="007B53E2"/>
    <w:rPr>
      <w:color w:val="808080"/>
    </w:rPr>
  </w:style>
  <w:style w:type="paragraph" w:styleId="Odstavecseseznamem">
    <w:name w:val="List Paragraph"/>
    <w:basedOn w:val="Normln"/>
    <w:uiPriority w:val="34"/>
    <w:qFormat/>
    <w:rsid w:val="00353009"/>
    <w:pPr>
      <w:ind w:left="720"/>
      <w:contextualSpacing/>
    </w:pPr>
  </w:style>
  <w:style w:type="paragraph" w:styleId="Prosttext">
    <w:name w:val="Plain Text"/>
    <w:basedOn w:val="Normln"/>
    <w:link w:val="ProsttextChar"/>
    <w:uiPriority w:val="99"/>
    <w:unhideWhenUsed/>
    <w:rsid w:val="00E518F6"/>
    <w:pPr>
      <w:suppressAutoHyphens w:val="0"/>
      <w:ind w:firstLine="0"/>
      <w:jc w:val="left"/>
    </w:pPr>
    <w:rPr>
      <w:rFonts w:eastAsiaTheme="minorHAnsi" w:cs="Arial"/>
      <w:sz w:val="20"/>
      <w:szCs w:val="20"/>
      <w:lang w:eastAsia="cs-CZ"/>
    </w:rPr>
  </w:style>
  <w:style w:type="character" w:customStyle="1" w:styleId="ProsttextChar">
    <w:name w:val="Prostý text Char"/>
    <w:basedOn w:val="Standardnpsmoodstavce"/>
    <w:link w:val="Prosttext"/>
    <w:uiPriority w:val="99"/>
    <w:rsid w:val="00E518F6"/>
    <w:rPr>
      <w:rFonts w:ascii="Arial" w:eastAsiaTheme="minorHAnsi" w:hAnsi="Arial" w:cs="Arial"/>
    </w:rPr>
  </w:style>
  <w:style w:type="character" w:customStyle="1" w:styleId="Nadpis9Char">
    <w:name w:val="Nadpis 9 Char"/>
    <w:basedOn w:val="Standardnpsmoodstavce"/>
    <w:link w:val="Nadpis9"/>
    <w:semiHidden/>
    <w:rsid w:val="00A108D4"/>
    <w:rPr>
      <w:rFonts w:asciiTheme="majorHAnsi" w:eastAsiaTheme="majorEastAsia" w:hAnsiTheme="majorHAnsi" w:cstheme="majorBidi"/>
      <w:i/>
      <w:iCs/>
      <w:color w:val="404040" w:themeColor="text1" w:themeTint="BF"/>
      <w:lang w:eastAsia="ar-SA"/>
    </w:rPr>
  </w:style>
  <w:style w:type="paragraph" w:customStyle="1" w:styleId="GGNadpis1">
    <w:name w:val="GG Nadpis1"/>
    <w:basedOn w:val="Normln"/>
    <w:next w:val="Normln"/>
    <w:link w:val="GGNadpis1Char"/>
    <w:rsid w:val="008941B2"/>
    <w:pPr>
      <w:tabs>
        <w:tab w:val="num" w:pos="567"/>
      </w:tabs>
      <w:suppressAutoHyphens w:val="0"/>
      <w:spacing w:before="240" w:after="120"/>
      <w:ind w:left="567" w:hanging="567"/>
      <w:jc w:val="left"/>
      <w:outlineLvl w:val="0"/>
    </w:pPr>
    <w:rPr>
      <w:rFonts w:cs="Arial"/>
      <w:b/>
      <w:bCs/>
      <w:smallCaps/>
      <w:kern w:val="32"/>
      <w:sz w:val="28"/>
      <w:szCs w:val="28"/>
      <w:lang w:eastAsia="cs-CZ"/>
    </w:rPr>
  </w:style>
  <w:style w:type="character" w:customStyle="1" w:styleId="GGNadpis1Char">
    <w:name w:val="GG Nadpis1 Char"/>
    <w:link w:val="GGNadpis1"/>
    <w:rsid w:val="008941B2"/>
    <w:rPr>
      <w:rFonts w:ascii="Arial" w:hAnsi="Arial" w:cs="Arial"/>
      <w:b/>
      <w:bCs/>
      <w:smallCaps/>
      <w:kern w:val="32"/>
      <w:sz w:val="28"/>
      <w:szCs w:val="28"/>
    </w:rPr>
  </w:style>
  <w:style w:type="paragraph" w:customStyle="1" w:styleId="GGNadpis2">
    <w:name w:val="GG Nadpis2"/>
    <w:basedOn w:val="Normln"/>
    <w:next w:val="Normln"/>
    <w:rsid w:val="001721D1"/>
    <w:pPr>
      <w:tabs>
        <w:tab w:val="num" w:pos="1134"/>
      </w:tabs>
      <w:suppressAutoHyphens w:val="0"/>
      <w:spacing w:before="120" w:after="120"/>
      <w:ind w:left="1134" w:hanging="567"/>
      <w:jc w:val="left"/>
      <w:outlineLvl w:val="1"/>
    </w:pPr>
    <w:rPr>
      <w:rFonts w:cs="Arial"/>
      <w:b/>
      <w:bCs/>
      <w:smallCaps/>
      <w:kern w:val="32"/>
      <w:sz w:val="24"/>
      <w:lang w:eastAsia="cs-CZ"/>
    </w:rPr>
  </w:style>
  <w:style w:type="paragraph" w:customStyle="1" w:styleId="GGNadpis3">
    <w:name w:val="GG Nadpis3"/>
    <w:basedOn w:val="Normln"/>
    <w:next w:val="Normln"/>
    <w:rsid w:val="001721D1"/>
    <w:pPr>
      <w:tabs>
        <w:tab w:val="left" w:pos="1134"/>
        <w:tab w:val="num" w:pos="1418"/>
      </w:tabs>
      <w:suppressAutoHyphens w:val="0"/>
      <w:spacing w:before="120" w:after="60"/>
      <w:ind w:left="1418" w:hanging="567"/>
      <w:jc w:val="left"/>
      <w:outlineLvl w:val="2"/>
    </w:pPr>
    <w:rPr>
      <w:rFonts w:cs="Arial"/>
      <w:b/>
      <w:bCs/>
      <w:smallCaps/>
      <w:kern w:val="32"/>
      <w:sz w:val="24"/>
      <w:lang w:eastAsia="cs-CZ"/>
    </w:rPr>
  </w:style>
  <w:style w:type="paragraph" w:customStyle="1" w:styleId="GGNadpis4">
    <w:name w:val="GG Nadpis4"/>
    <w:basedOn w:val="Normln"/>
    <w:next w:val="Normln"/>
    <w:rsid w:val="001721D1"/>
    <w:pPr>
      <w:tabs>
        <w:tab w:val="num" w:pos="1701"/>
      </w:tabs>
      <w:suppressAutoHyphens w:val="0"/>
      <w:spacing w:before="120"/>
      <w:ind w:left="1701" w:hanging="567"/>
      <w:jc w:val="left"/>
      <w:outlineLvl w:val="3"/>
    </w:pPr>
    <w:rPr>
      <w:rFonts w:cs="Arial"/>
      <w:b/>
      <w:bCs/>
      <w:i/>
      <w:iCs/>
      <w:smallCaps/>
      <w:kern w:val="32"/>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6089">
      <w:bodyDiv w:val="1"/>
      <w:marLeft w:val="0"/>
      <w:marRight w:val="0"/>
      <w:marTop w:val="0"/>
      <w:marBottom w:val="0"/>
      <w:divBdr>
        <w:top w:val="none" w:sz="0" w:space="0" w:color="auto"/>
        <w:left w:val="none" w:sz="0" w:space="0" w:color="auto"/>
        <w:bottom w:val="none" w:sz="0" w:space="0" w:color="auto"/>
        <w:right w:val="none" w:sz="0" w:space="0" w:color="auto"/>
      </w:divBdr>
    </w:div>
    <w:div w:id="87982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120150-4C03-420F-86A1-F364BFE0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1762</Words>
  <Characters>10396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Arnošt Janěk</dc:creator>
  <cp:keywords/>
  <cp:lastModifiedBy>Adéla Palovská</cp:lastModifiedBy>
  <cp:revision>12</cp:revision>
  <dcterms:created xsi:type="dcterms:W3CDTF">2026-01-08T07:42:00Z</dcterms:created>
  <dcterms:modified xsi:type="dcterms:W3CDTF">2026-01-16T15:54:00Z</dcterms:modified>
</cp:coreProperties>
</file>